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16F6C3BC" w:rsidR="00E456AB" w:rsidRDefault="00A750F3" w:rsidP="00DB62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Milena Klicka</w:t>
            </w:r>
            <w:r w:rsidR="00A30B88">
              <w:rPr>
                <w:rFonts w:ascii="Arial" w:hAnsi="Arial" w:cs="Arial"/>
                <w:b/>
                <w:bCs/>
              </w:rPr>
              <w:t xml:space="preserve"> prowadząc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A30B88">
              <w:rPr>
                <w:rFonts w:ascii="Arial" w:hAnsi="Arial" w:cs="Arial"/>
                <w:b/>
                <w:bCs/>
              </w:rPr>
              <w:t xml:space="preserve"> działalność gospodarczą pod firmą </w:t>
            </w:r>
            <w:r w:rsidR="000972C5">
              <w:rPr>
                <w:rFonts w:ascii="Arial" w:hAnsi="Arial" w:cs="Arial"/>
                <w:b/>
                <w:bCs/>
              </w:rPr>
              <w:t>Milena Klicka</w:t>
            </w:r>
            <w:r w:rsidR="0085645C">
              <w:rPr>
                <w:rFonts w:ascii="Arial" w:hAnsi="Arial" w:cs="Arial"/>
                <w:b/>
                <w:bCs/>
              </w:rPr>
              <w:t xml:space="preserve"> </w:t>
            </w:r>
            <w:r w:rsidR="000972C5">
              <w:rPr>
                <w:rFonts w:ascii="Arial" w:hAnsi="Arial" w:cs="Arial"/>
                <w:b/>
                <w:bCs/>
              </w:rPr>
              <w:t>SKLEP SPOŻYWCZO-PRZEMYSŁOWY</w:t>
            </w:r>
          </w:p>
          <w:p w14:paraId="47278D7C" w14:textId="39405D31" w:rsidR="00B155BD" w:rsidRPr="0085645C" w:rsidRDefault="00A30B88" w:rsidP="0085645C">
            <w:pPr>
              <w:jc w:val="center"/>
              <w:rPr>
                <w:rFonts w:ascii="Arial" w:hAnsi="Arial" w:cs="Arial"/>
              </w:rPr>
            </w:pPr>
            <w:r w:rsidRPr="0085645C">
              <w:rPr>
                <w:rFonts w:ascii="Arial" w:hAnsi="Arial" w:cs="Arial"/>
              </w:rPr>
              <w:t>PESEL:</w:t>
            </w:r>
            <w:r w:rsidR="00570A89">
              <w:rPr>
                <w:rFonts w:ascii="Arial" w:hAnsi="Arial" w:cs="Arial"/>
              </w:rPr>
              <w:t>9405</w:t>
            </w:r>
            <w:r w:rsidR="00FC7B39">
              <w:rPr>
                <w:rFonts w:ascii="Arial" w:hAnsi="Arial" w:cs="Arial"/>
              </w:rPr>
              <w:t>1303328</w:t>
            </w:r>
            <w:r w:rsidRPr="0085645C">
              <w:rPr>
                <w:rFonts w:ascii="Arial" w:hAnsi="Arial" w:cs="Arial"/>
              </w:rPr>
              <w:t xml:space="preserve"> , </w:t>
            </w:r>
            <w:r w:rsidR="00A00B49" w:rsidRPr="0085645C">
              <w:rPr>
                <w:rFonts w:ascii="Arial" w:hAnsi="Arial" w:cs="Arial"/>
              </w:rPr>
              <w:t>NIP:</w:t>
            </w:r>
            <w:r w:rsidR="0085645C" w:rsidRPr="0085645C">
              <w:rPr>
                <w:rFonts w:ascii="Arial" w:hAnsi="Arial" w:cs="Arial"/>
              </w:rPr>
              <w:t xml:space="preserve"> </w:t>
            </w:r>
            <w:r w:rsidR="00F20D1F" w:rsidRPr="00B262DC">
              <w:rPr>
                <w:rFonts w:ascii="Arial" w:hAnsi="Arial" w:cs="Arial"/>
                <w:color w:val="1A1A1A"/>
                <w:shd w:val="clear" w:color="auto" w:fill="FFFFFF"/>
              </w:rPr>
              <w:t>5711717189</w:t>
            </w:r>
            <w:r w:rsidR="0085645C" w:rsidRPr="0085645C">
              <w:rPr>
                <w:rFonts w:ascii="Arial" w:hAnsi="Arial" w:cs="Arial"/>
              </w:rPr>
              <w:br/>
            </w:r>
            <w:r w:rsidR="001609A1" w:rsidRPr="0085645C">
              <w:rPr>
                <w:rFonts w:ascii="Arial" w:hAnsi="Arial" w:cs="Arial"/>
              </w:rPr>
              <w:t>, REGON</w:t>
            </w:r>
            <w:r w:rsidRPr="0085645C">
              <w:rPr>
                <w:rFonts w:ascii="Arial" w:hAnsi="Arial" w:cs="Arial"/>
              </w:rPr>
              <w:t>:</w:t>
            </w:r>
            <w:r w:rsidR="0085645C" w:rsidRPr="0085645C">
              <w:rPr>
                <w:rFonts w:ascii="Arial" w:hAnsi="Arial" w:cs="Arial"/>
              </w:rPr>
              <w:t xml:space="preserve"> </w:t>
            </w:r>
            <w:r w:rsidR="00801E2D">
              <w:rPr>
                <w:rFonts w:ascii="Roboto" w:hAnsi="Roboto"/>
                <w:color w:val="1A1A1A"/>
                <w:shd w:val="clear" w:color="auto" w:fill="FFFFFF"/>
              </w:rPr>
              <w:t>369140152</w:t>
            </w:r>
            <w:r w:rsidR="0085645C" w:rsidRPr="0085645C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6C14EA38" w:rsidR="00E456AB" w:rsidRPr="00464079" w:rsidRDefault="00B114C1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PŁOŚNICA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6ACD776F" w:rsidR="00E456AB" w:rsidRPr="002479A2" w:rsidRDefault="000543B7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022E21">
              <w:rPr>
                <w:rFonts w:ascii="Arial" w:hAnsi="Arial" w:cs="Arial"/>
                <w:b/>
                <w:bCs/>
              </w:rPr>
              <w:t>Nowa 1</w:t>
            </w:r>
            <w:r w:rsidR="003C08C7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022E21">
              <w:rPr>
                <w:rFonts w:ascii="Arial" w:hAnsi="Arial" w:cs="Arial"/>
                <w:b/>
                <w:bCs/>
              </w:rPr>
              <w:t>13-206 Płośnica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035FE752" w:rsidR="00FE4298" w:rsidRPr="00FE4298" w:rsidRDefault="00FE4298" w:rsidP="00E456AB">
            <w:pPr>
              <w:jc w:val="center"/>
              <w:rPr>
                <w:rFonts w:ascii="Arial" w:hAnsi="Arial" w:cs="Arial"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D2A4455" w14:textId="5CD02C34" w:rsidR="008A4E8C" w:rsidRPr="000E7E4E" w:rsidRDefault="008A4E8C" w:rsidP="003B2970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6BC8613D" w:rsidR="003E29DC" w:rsidRPr="007E1A66" w:rsidRDefault="003E29DC" w:rsidP="00F307B0">
            <w:pPr>
              <w:rPr>
                <w:rFonts w:ascii="Arial" w:hAnsi="Arial" w:cs="Arial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FA85C7B" w:rsidR="006A0A32" w:rsidRPr="00A01C59" w:rsidRDefault="006A0A32" w:rsidP="00F307B0">
            <w:pPr>
              <w:rPr>
                <w:rFonts w:ascii="Arial" w:hAnsi="Arial" w:cs="Arial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1054" w14:paraId="25ABFF3C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1D703925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4CFDA8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24293E26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32D85C86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162537A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397460B7" w14:textId="77777777" w:rsidTr="00AF5DB4">
        <w:trPr>
          <w:trHeight w:val="105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201CA399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05BCDCEF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456AB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3D7F27" w:rsidRPr="00454C08">
              <w:rPr>
                <w:sz w:val="18"/>
                <w:szCs w:val="18"/>
              </w:rPr>
              <w:t>.</w:t>
            </w:r>
            <w:r w:rsidR="00E40CB8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454C08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="00454C08" w:rsidRPr="00454C08">
              <w:rPr>
                <w:sz w:val="18"/>
                <w:szCs w:val="18"/>
              </w:rPr>
              <w:t>.1.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.2.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AF5DB4">
            <w:pPr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C9D9D3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15D787A7" w14:textId="5750D226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16B1AEA6" w:rsidR="00454C08" w:rsidRPr="004C76A9" w:rsidRDefault="00867D4D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83BBE">
              <w:rPr>
                <w:rFonts w:ascii="Arial" w:hAnsi="Arial" w:cs="Arial"/>
                <w:b/>
                <w:bCs/>
              </w:rPr>
              <w:t>5</w:t>
            </w:r>
            <w:r w:rsidR="003E5675">
              <w:rPr>
                <w:rFonts w:ascii="Arial" w:hAnsi="Arial" w:cs="Arial"/>
                <w:b/>
                <w:bCs/>
              </w:rPr>
              <w:t xml:space="preserve"> </w:t>
            </w:r>
            <w:r w:rsidR="00064C89">
              <w:rPr>
                <w:rFonts w:ascii="Arial" w:hAnsi="Arial" w:cs="Arial"/>
                <w:b/>
                <w:bCs/>
              </w:rPr>
              <w:t xml:space="preserve">października </w:t>
            </w:r>
            <w:r w:rsidR="003E5675"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7F04D8F8" w14:textId="181D4F72" w:rsidR="00A15E7C" w:rsidRPr="00F3358F" w:rsidRDefault="008A27EB" w:rsidP="006B57D2">
            <w:pPr>
              <w:jc w:val="both"/>
              <w:rPr>
                <w:rFonts w:ascii="Arial" w:hAnsi="Arial" w:cs="Arial"/>
              </w:rPr>
            </w:pPr>
            <w:r w:rsidRPr="00F3358F">
              <w:rPr>
                <w:rFonts w:ascii="Arial" w:hAnsi="Arial" w:cs="Arial"/>
              </w:rPr>
              <w:tab/>
            </w:r>
          </w:p>
          <w:p w14:paraId="39577791" w14:textId="77777777" w:rsidR="00F3358F" w:rsidRPr="00F3358F" w:rsidRDefault="00F3358F" w:rsidP="006B57D2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CE73CEA" w14:textId="595BC371" w:rsidR="00BD43E5" w:rsidRDefault="00BD43E5" w:rsidP="003E72D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18D650" w14:textId="77777777" w:rsidR="00BD43E5" w:rsidRDefault="00BD43E5" w:rsidP="00BD43E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dwóch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E2BE44" w14:textId="77777777" w:rsidR="00BD43E5" w:rsidRDefault="00BD43E5" w:rsidP="00BD43E5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A9EC47" w14:textId="77777777" w:rsidR="00BD43E5" w:rsidRDefault="00BD43E5" w:rsidP="00BD43E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DA34C3" w14:textId="77777777" w:rsidR="00BD43E5" w:rsidRDefault="00BD43E5" w:rsidP="00BD43E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>
              <w:rPr>
                <w:rStyle w:val="spellingerror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26F5ED" w14:textId="77777777" w:rsidR="00BD43E5" w:rsidRDefault="00BD43E5" w:rsidP="00BD43E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B5842C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9C8E96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16DB0B" w14:textId="255A8079" w:rsidR="00BD43E5" w:rsidRDefault="00BD43E5" w:rsidP="003E72D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DE2AEF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21E8EA" w14:textId="77777777" w:rsidR="00BD43E5" w:rsidRDefault="00BD43E5" w:rsidP="00BD43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F14DE5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4631D1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200C9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– instytucjom finansowym w rozumieniu art. 4 § 1 ust. 7 ustawy z dnia 15 września 2000 r. – Kodeks spółek handlowych (Dz.U. z 2020 r. poz. 1526) oraz wierzycielom wykonującym działalność gospodarczą w zakresie: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14DB09" w14:textId="77777777" w:rsidR="00BD43E5" w:rsidRDefault="00BD43E5" w:rsidP="00BD43E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udostępniania składników majątkowych na podstawie umowy leasingu,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23D512" w14:textId="77777777" w:rsidR="00BD43E5" w:rsidRDefault="00BD43E5" w:rsidP="00BD43E5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świadczenia usług w zakresie nabywania i zbywania wierzytelności.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B1BD20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10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B14733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10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054073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865C36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8C54B0" w14:textId="77777777" w:rsidR="00BD43E5" w:rsidRDefault="00BD43E5" w:rsidP="00BD43E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85%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99D24F" w14:textId="77777777" w:rsidR="00BD43E5" w:rsidRDefault="00BD43E5" w:rsidP="00BD43E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25E99B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7FAF08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6AA9F0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062279" w14:textId="77777777" w:rsidR="00BD43E5" w:rsidRDefault="00BD43E5" w:rsidP="00BD43E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Spłata nastąpi poprzez 36 rat płatnych kwartalnie.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653DF8" w14:textId="77777777" w:rsidR="00BD43E5" w:rsidRDefault="00BD43E5" w:rsidP="00BD43E5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072DE8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78FCD1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 – w wysokości 1% wierzytelności głównej zgodnie z propozycją spłaty, płatna na koniec miesiąca następującego po upływie 3 (trzech) miesięcy od dnia doręczenia Dłużnikowi postanowienia o stwierdzeniu prawomocności postanowienia o zatwierdzeniu układu, przy czym nie wcześniej niż dnia 30 czerwca 2023 r.,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87A82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 – w wysokości 1</w:t>
            </w:r>
            <w:r>
              <w:rPr>
                <w:rStyle w:val="contextualspellingandgrammarerror"/>
                <w:rFonts w:ascii="Arial" w:hAnsi="Arial" w:cs="Arial"/>
                <w:sz w:val="22"/>
                <w:szCs w:val="22"/>
              </w:rPr>
              <w:t>%</w:t>
            </w:r>
            <w:r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Style w:val="contextualspellingandgrammarerror"/>
                <w:rFonts w:ascii="Arial" w:hAnsi="Arial" w:cs="Arial"/>
                <w:sz w:val="22"/>
                <w:szCs w:val="22"/>
              </w:rPr>
              <w:t xml:space="preserve"> wierzytelności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głównej zgodnie z propozycją spłaty, płatna w terminie 3 miesięcy od płatności raty nr 1,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4BC6C6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3 – w wysokości 1% wierzytelności głównej zgodnie z propozycją spłaty, płatna w terminie 3 miesięcy od płatności raty nr 2,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158082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4 – w wysokości 1% wierzytelności głównej zgodnie z propozycją spłaty, płatna w terminie 3 miesięcy od płatności raty nr 3,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EFC853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5 – w wysokości 0,75% wierzytelności głównej zgodnie z propozycją spłaty, płatna w terminie 3 miesięcy od płatności raty nr 4,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E514D5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6 – w wysokości 0,75% wierzytelności głównej zgodnie z propozycją spłaty, płatna w terminie 3 miesięcy od płatności raty nr 5,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5D12C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7 – w wysokości 0,75% wierzytelności głównej zgodnie z propozycją spłaty, płatna w terminie 3 miesięcy od płatności raty nr 6,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A76A76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8 – w wysokości 0,75% wierzytelności głównej zgodnie z propozycją spłaty, płatna w terminie 3 miesięcy od płatności raty nr 7,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AC13D9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9 – w wysokości 1,25% wierzytelności głównej zgodnie z propozycją spłaty, płatna w terminie 3 miesięcy od płatności raty nr 8,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8243A6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-rata nr 10 – w wysokości 1,25% wierzytelności głównej zgodnie z propozycją spłaty, płatna w terminie 3 miesięcy od płatności raty nr 9,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6A0CA6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11 – w wysokości 1,25% wierzytelności głównej zgodnie z propozycją spłaty, płatna w terminie 3 miesięcy od płatności raty nr 10,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7411D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12 – w wysokości 1,25% wierzytelności głównej zgodnie z propozycją spłaty, płatna w terminie 3 miesięcy od płatności raty nr 11,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DE827C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13 – w wysokości 1,5% wierzytelności głównej zgodnie z propozycją spłaty, płatna w terminie 3 miesięcy od płatności raty nr 12,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40AD3C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14 – w wysokości 1,5% wierzytelności głównej zgodnie z propozycją spłaty, płatna w terminie 3 miesięcy od płatności raty nr 13,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4296A2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15 – w wysokości 1,5% wierzytelności głównej zgodnie z propozycją spłaty, płatna w terminie 3 miesięcy od płatności raty nr 14,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99BBC3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16 – w wysokości 1,5% wierzytelności głównej zgodnie z propozycją spłaty, płatna w terminie 3 miesięcy od płatności raty nr 15,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C50BD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17 – w wysokości 1,875% wierzytelności głównej zgodnie z propozycją spłaty, płatna w terminie 3 miesięcy od płatności raty nr 16,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65304C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18 – w wysokości 1,875% wierzytelności głównej zgodnie z propozycją spłaty, płatna w terminie 3 miesięcy od płatności raty nr 17,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FA959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19 – w wysokości 1,875% wierzytelności głównej zgodnie z propozycją spłaty, płatna w terminie 3 miesięcy od płatności raty nr 18,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4ACF93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20 – w wysokości 1,875% wierzytelności głównej zgodnie z propozycją spłaty, płatna w terminie 3 miesięcy od płatności raty nr 19,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0A19F0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21 – w wysokości 4% wierzytelności głównej zgodnie z propozycją spłaty, płatna w terminie 3 miesięcy od płatności raty nr 20,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91D65D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22 – w wysokości 4% wierzytelności głównej zgodnie z propozycją spłaty, płatna w terminie 3 miesięcy od płatności raty nr 21,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D9A73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23 – w wysokości 4% wierzytelności głównej zgodnie z propozycją spłaty, płatna w terminie 3 miesięcy od płatności raty nr 22,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F1E04D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24 – w wysokości 4% wierzytelności głównej zgodnie z propozycją spłaty, płatna w terminie 3 miesięcy od płatności raty nr 23,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36973B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25 – w wysokości 4,75% wierzytelności głównej zgodnie z propozycją spłaty, płatna w terminie 3 miesięcy od płatności raty nr 24,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54812E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- rata nr 26 – w wysokości 4,75% wierzytelności głównej zgodnie z propozycją spłaty, płatna w terminie 3 miesięcy od płatności raty nr 25,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ECBE3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27 – w wysokości 4,75% wierzytelności głównej zgodnie z propozycją spłaty, płatna w terminie 3 miesięcy od płatności raty nr 26,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4B2604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28 – w wysokości 4,75% wierzytelności głównej zgodnie z propozycją spłaty, płatna w terminie 3 miesięcy od płatności raty nr 27,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FE4AF5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29 – w wysokości 5,5% wierzytelności głównej zgodnie z propozycją spłaty, płatna w terminie 3 miesięcy od płatności raty nr 28,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8E7B3C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30 – w wysokości 5,5% wierzytelności głównej zgodnie z propozycją spłaty, płatna w terminie 3 miesięcy od płatności raty nr 29,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1A8BBB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31 – w wysokości 5,5% wierzytelności głównej zgodnie z propozycją spłaty, płatna w terminie 3 miesięcy od płatności raty nr 30,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6F6419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32 – w wysokości 5,5% wierzytelności głównej zgodnie z propozycją spłaty, płatna w terminie 3 miesięcy od płatności raty nr 31,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5FBA6B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33 – w wysokości 4,375% wierzytelności głównej zgodnie z propozycją spłaty, płatna w terminie 3 miesięcy od płatności raty nr 32,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7F8293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34 – w wysokości 4,375% wierzytelności głównej zgodnie z propozycją spłaty, płatna w terminie 3 miesięcy od płatności raty nr 33,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C103DC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35 – w wysokości 4,375% wierzytelności głównej zgodnie z propozycją spłaty, płatna w terminie 3 miesięcy od płatności raty nr 34,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BE138B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36 – w wysokości 4,375% wierzytelności głównej zgodnie z propozycją spłaty, płatna w terminie 3 miesięcy od płatności raty nr 35.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00A8D1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59344A" w14:textId="77777777" w:rsidR="00BD43E5" w:rsidRDefault="00BD43E5" w:rsidP="00BD43E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37D6F9" w14:textId="77777777" w:rsidR="00BD43E5" w:rsidRDefault="00BD43E5" w:rsidP="00BD43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3ECB00" w14:textId="77777777" w:rsidR="00BD43E5" w:rsidRDefault="00BD43E5" w:rsidP="00BD43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FE8FDA" w14:textId="77777777" w:rsidR="00BD43E5" w:rsidRDefault="00BD43E5" w:rsidP="00BD43E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EE1514C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nieujęte w Grupie I </w:t>
            </w:r>
            <w:proofErr w:type="spellStart"/>
            <w:r>
              <w:rPr>
                <w:rStyle w:val="spellingerror"/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III.</w:t>
            </w:r>
            <w:r>
              <w:rPr>
                <w:rStyle w:val="normaltextrun"/>
                <w:rFonts w:ascii="Segoe UI" w:hAnsi="Segoe UI" w:cs="Segoe UI"/>
                <w:sz w:val="18"/>
                <w:szCs w:val="18"/>
              </w:rPr>
              <w:t> </w:t>
            </w: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64F8A5CD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FD9778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A8A2F2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287FFB47" w14:textId="77777777" w:rsidR="00BD43E5" w:rsidRDefault="00BD43E5" w:rsidP="00BD43E5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129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70% wierzytelności głównych.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D792B5" w14:textId="77777777" w:rsidR="00BD43E5" w:rsidRDefault="00BD43E5" w:rsidP="00BD43E5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129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240144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755193E6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A3C4AE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BD373C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FC9B1E" w14:textId="77777777" w:rsidR="00BD43E5" w:rsidRDefault="00BD43E5" w:rsidP="00BD43E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poprzez 20 rat płatnych kwartalnie.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D788B8" w14:textId="77777777" w:rsidR="00BD43E5" w:rsidRDefault="00BD43E5" w:rsidP="00BD43E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A4C4D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218A89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 – w wysokości 1,25% wierzytelności głównej zgodnie z propozycją spłaty, płatna na koniec miesiąca następującego po upływie 3 (trzech) miesięcy od dnia doręczenia Dłużnikowi postanowienia o stwierdzeniu prawomocności postanowienia o zatwierdzeniu układu, przy czym nie wcześniej niż dnia 30 czerwca 2023 r.,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CC7658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 – w wysokości 1,25</w:t>
            </w:r>
            <w:r>
              <w:rPr>
                <w:rStyle w:val="contextualspellingandgrammarerror"/>
                <w:rFonts w:ascii="Arial" w:hAnsi="Arial" w:cs="Arial"/>
                <w:sz w:val="22"/>
                <w:szCs w:val="22"/>
              </w:rPr>
              <w:t>%</w:t>
            </w:r>
            <w:r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Style w:val="contextualspellingandgrammarerror"/>
                <w:rFonts w:ascii="Arial" w:hAnsi="Arial" w:cs="Arial"/>
                <w:sz w:val="22"/>
                <w:szCs w:val="22"/>
              </w:rPr>
              <w:t xml:space="preserve"> wierzytelności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głównej zgodnie z propozycją spłaty, płatna w terminie 3 miesięcy od płatności raty nr 1,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E5003C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3 – w wysokości 1,25% wierzytelności głównej zgodnie z propozycją spłaty, płatna w terminie 3 miesięcy od płatności raty nr 2,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46D7CA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4 – w wysokości 1,25% wierzytelności głównej zgodnie z propozycją spłaty, płatna w terminie 3 miesięcy od płatności raty nr 3,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D119A0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5 – w wysokości 5% wierzytelności głównej zgodnie z propozycją spłaty, płatna w terminie 3 miesięcy od płatności raty nr 4,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2D106A3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- rata nr 6 – w wysokości 5% wierzytelności głównej zgodnie z propozycją spłaty, płatna w terminie 3 miesięcy od płatności raty nr 5,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F86A43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7 – w wysokości 5% wierzytelności głównej zgodnie z propozycją spłaty, płatna w terminie 3 miesięcy od płatności raty nr 6,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117E62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8 – w wysokości 5% wierzytelności głównej zgodnie z propozycją spłaty, płatna w terminie 3 miesięcy od płatności raty nr 7,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2A3A9B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9 – w wysokości 5% wierzytelności głównej zgodnie z propozycją spłaty, płatna w terminie 3 miesięcy od płatności raty nr 8,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1757AD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-rata nr 10 – w wysokości 5% wierzytelności głównej zgodnie z propozycją spłaty, płatna w terminie 3 miesięcy od płatności raty nr 9,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8B5BFE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11 – w wysokości 5% wierzytelności głównej zgodnie z propozycją spłaty, płatna w terminie 3 miesięcy od płatności raty nr 10,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54F86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12 – w wysokości 5% wierzytelności głównej zgodnie z propozycją spłaty, płatna w terminie 3 miesięcy od płatności raty nr 11,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CBC05E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13 – w wysokości 6,25% wierzytelności głównej zgodnie z propozycją spłaty, płatna w terminie 3 miesięcy od płatności raty nr 12,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9FD4B4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14 – w wysokości 6,25% wierzytelności głównej zgodnie z propozycją spłaty, płatna w terminie 3 miesięcy od płatności raty nr 13,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AFCF4A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15 – w wysokości 6,25% wierzytelności głównej zgodnie z propozycją spłaty, płatna w terminie 3 miesięcy od płatności raty nr 14,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B011D1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16 – w wysokości 6,25% wierzytelności głównej zgodnie z propozycją spłaty, płatna w terminie 3 miesięcy od płatności raty nr 15,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A840CA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17 – w wysokości 7,5% wierzytelności głównej zgodnie z propozycją spłaty, płatna w terminie 3 miesięcy od płatności raty nr 16,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CA5243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18 – w wysokości 7,5% wierzytelności głównej zgodnie z propozycją spłaty, płatna w terminie 3 miesięcy od płatności raty nr 17,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C295C0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19 – w wysokości 7,5% wierzytelności głównej zgodnie z propozycją spłaty, płatna w terminie 3 miesięcy od płatności raty nr 18,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F7D68B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20 – w wysokości 7,5% wierzytelności głównej zgodnie z propozycją spłaty, płatna w terminie 3 miesięcy od płatności raty nr 19.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EE6CA2" w14:textId="77777777" w:rsidR="00BD43E5" w:rsidRDefault="00BD43E5" w:rsidP="00BD43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CA7067" w14:textId="77777777" w:rsidR="00BD43E5" w:rsidRDefault="00BD43E5" w:rsidP="00BD43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46C1F6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8BCA16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D4B863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B27452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255D23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72B831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111DA6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AB27B9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1FA373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CE31F2" w14:textId="77777777" w:rsidR="00BD43E5" w:rsidRDefault="00BD43E5" w:rsidP="00BD43E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poprzez 20 rat płatnych kwartalnie.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5EC91D" w14:textId="77777777" w:rsidR="00BD43E5" w:rsidRDefault="00BD43E5" w:rsidP="00BD43E5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5619DA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2AA27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 – w wysokości 1,25% wierzytelności głównej zgodnie z propozycją spłaty, płatna na koniec miesiąca następującego po upływie 3 (trzech) miesięcy od dnia doręczenia Dłużnikowi postanowienia o stwierdzeniu prawomocności postanowienia o zatwierdzeniu układu, przy czym nie wcześniej niż dnia 30 czerwca 2023 r.,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A8EE54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 – w wysokości 1,25</w:t>
            </w:r>
            <w:r>
              <w:rPr>
                <w:rStyle w:val="contextualspellingandgrammarerror"/>
                <w:rFonts w:ascii="Arial" w:hAnsi="Arial" w:cs="Arial"/>
                <w:sz w:val="22"/>
                <w:szCs w:val="22"/>
              </w:rPr>
              <w:t>%</w:t>
            </w:r>
            <w:r>
              <w:rPr>
                <w:rStyle w:val="contextualspellingandgrammarerror"/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Style w:val="contextualspellingandgrammarerror"/>
                <w:rFonts w:ascii="Arial" w:hAnsi="Arial" w:cs="Arial"/>
                <w:sz w:val="22"/>
                <w:szCs w:val="22"/>
              </w:rPr>
              <w:t xml:space="preserve"> wierzytelności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głównej zgodnie z propozycją spłaty, płatna w terminie 3 miesięcy od płatności raty nr 1,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CBE0A9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3 – w wysokości 1,25% wierzytelności głównej zgodnie z propozycją spłaty, płatna w terminie 3 miesięcy od płatności raty nr 2,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768C8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4 – w wysokości 1,25% wierzytelności głównej zgodnie z propozycją spłaty, płatna w terminie 3 miesięcy od płatności raty nr 3,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FB29A2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- rata nr 5 – w wysokości 5% wierzytelności głównej zgodnie z propozycją spłaty, płatna w terminie 3 miesięcy od płatności raty nr 4,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7903F8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6 – w wysokości 5% wierzytelności głównej zgodnie z propozycją spłaty, płatna w terminie 3 miesięcy od płatności raty nr 5,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9A0BF2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7 – w wysokości 5% wierzytelności głównej zgodnie z propozycją spłaty, płatna w terminie 3 miesięcy od płatności raty nr 6,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C92E5C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8 – w wysokości 5% wierzytelności głównej zgodnie z propozycją spłaty, płatna w terminie 3 miesięcy od płatności raty nr 7,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046B65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9 – w wysokości 5% wierzytelności głównej zgodnie z propozycją spłaty, płatna w terminie 3 miesięcy od płatności raty nr 8,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98D1CA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-rata nr 10 – w wysokości 5% wierzytelności głównej zgodnie z propozycją spłaty, płatna w terminie 3 miesięcy od płatności raty nr 9,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B512E5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11 – w wysokości 5% wierzytelności głównej zgodnie z propozycją spłaty, płatna w terminie 3 miesięcy od płatności raty nr 10,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A28CDF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12 – w wysokości 5% wierzytelności głównej zgodnie z propozycją spłaty, płatna w terminie 3 miesięcy od płatności raty nr 11,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030AE5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13 – w wysokości 6,25% wierzytelności głównej zgodnie z propozycją spłaty, płatna w terminie 3 miesięcy od płatności raty nr 12,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C5E2C3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14 – w wysokości 6,25% wierzytelności głównej zgodnie z propozycją spłaty, płatna w terminie 3 miesięcy od płatności raty nr 13,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991812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15 – w wysokości 6,25% wierzytelności głównej zgodnie z propozycją spłaty, płatna w terminie 3 miesięcy od płatności raty nr 14,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3D6472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16 – w wysokości 6,25% wierzytelności głównej zgodnie z propozycją spłaty, płatna w terminie 3 miesięcy od płatności raty nr 15,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435790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17 – w wysokości 7,5% wierzytelności głównej zgodnie z propozycją spłaty, płatna w terminie 3 miesięcy od płatności raty nr 16,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82E363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18 – w wysokości 7,5% wierzytelności głównej zgodnie z propozycją spłaty, płatna w terminie 3 miesięcy od płatności raty nr 17,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5A3005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19 – w wysokości 7,5% wierzytelności głównej zgodnie z propozycją spłaty, płatna w terminie 3 miesięcy od płatności raty nr 18,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F10E99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rata nr 20 – w wysokości 7,5% wierzytelności głównej zgodnie z propozycją spłaty, płatna w terminie 3 miesięcy od płatności raty nr 19.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C9FB2B" w14:textId="77777777" w:rsidR="00BD43E5" w:rsidRDefault="00BD43E5" w:rsidP="00BD43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2BB57691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43020A" w14:textId="77777777" w:rsidR="00B02E92" w:rsidRPr="00347D1F" w:rsidRDefault="00B02E92" w:rsidP="00B02E92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16F1A195" w14:textId="186D0255" w:rsidR="00F3358F" w:rsidRPr="007A7B20" w:rsidRDefault="00F3358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C36960" w14:textId="77777777" w:rsidR="00335DFF" w:rsidRPr="007A7B20" w:rsidRDefault="00335DFF" w:rsidP="006B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DE6CA2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A44CA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B6B4" w14:textId="77777777" w:rsidR="005A6C8B" w:rsidRDefault="005A6C8B" w:rsidP="008334D9">
      <w:pPr>
        <w:spacing w:after="0" w:line="240" w:lineRule="auto"/>
      </w:pPr>
      <w:r>
        <w:separator/>
      </w:r>
    </w:p>
  </w:endnote>
  <w:endnote w:type="continuationSeparator" w:id="0">
    <w:p w14:paraId="75AB3F5C" w14:textId="77777777" w:rsidR="005A6C8B" w:rsidRDefault="005A6C8B" w:rsidP="008334D9">
      <w:pPr>
        <w:spacing w:after="0" w:line="240" w:lineRule="auto"/>
      </w:pPr>
      <w:r>
        <w:continuationSeparator/>
      </w:r>
    </w:p>
  </w:endnote>
  <w:endnote w:type="continuationNotice" w:id="1">
    <w:p w14:paraId="3B661938" w14:textId="77777777" w:rsidR="005A6C8B" w:rsidRDefault="005A6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6ECE" w14:textId="77777777" w:rsidR="005A6C8B" w:rsidRDefault="005A6C8B" w:rsidP="008334D9">
      <w:pPr>
        <w:spacing w:after="0" w:line="240" w:lineRule="auto"/>
      </w:pPr>
      <w:r>
        <w:separator/>
      </w:r>
    </w:p>
  </w:footnote>
  <w:footnote w:type="continuationSeparator" w:id="0">
    <w:p w14:paraId="651FDDC2" w14:textId="77777777" w:rsidR="005A6C8B" w:rsidRDefault="005A6C8B" w:rsidP="008334D9">
      <w:pPr>
        <w:spacing w:after="0" w:line="240" w:lineRule="auto"/>
      </w:pPr>
      <w:r>
        <w:continuationSeparator/>
      </w:r>
    </w:p>
  </w:footnote>
  <w:footnote w:type="continuationNotice" w:id="1">
    <w:p w14:paraId="0201F0AC" w14:textId="77777777" w:rsidR="005A6C8B" w:rsidRDefault="005A6C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232"/>
    <w:multiLevelType w:val="multilevel"/>
    <w:tmpl w:val="5B2E7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8426B"/>
    <w:multiLevelType w:val="multilevel"/>
    <w:tmpl w:val="63FC1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F25F5"/>
    <w:multiLevelType w:val="multilevel"/>
    <w:tmpl w:val="A62C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044D2"/>
    <w:multiLevelType w:val="multilevel"/>
    <w:tmpl w:val="C1986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54965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27AC"/>
    <w:multiLevelType w:val="multilevel"/>
    <w:tmpl w:val="5E649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3E687A"/>
    <w:multiLevelType w:val="multilevel"/>
    <w:tmpl w:val="CEA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E63F8"/>
    <w:multiLevelType w:val="multilevel"/>
    <w:tmpl w:val="FCF0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34E79"/>
    <w:multiLevelType w:val="multilevel"/>
    <w:tmpl w:val="71844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1166C"/>
    <w:multiLevelType w:val="multilevel"/>
    <w:tmpl w:val="BAAE158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3F5AAA"/>
    <w:multiLevelType w:val="hybridMultilevel"/>
    <w:tmpl w:val="6C6AAD50"/>
    <w:lvl w:ilvl="0" w:tplc="9FE6B9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E0D83"/>
    <w:multiLevelType w:val="multilevel"/>
    <w:tmpl w:val="3A32F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C2C5E"/>
    <w:multiLevelType w:val="multilevel"/>
    <w:tmpl w:val="8CD2D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A7E70"/>
    <w:multiLevelType w:val="multilevel"/>
    <w:tmpl w:val="A836D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A02D0"/>
    <w:multiLevelType w:val="multilevel"/>
    <w:tmpl w:val="46D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5068A"/>
    <w:multiLevelType w:val="multilevel"/>
    <w:tmpl w:val="06A8B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F16B2"/>
    <w:multiLevelType w:val="multilevel"/>
    <w:tmpl w:val="9F64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D7181"/>
    <w:multiLevelType w:val="multilevel"/>
    <w:tmpl w:val="6582B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759EF"/>
    <w:multiLevelType w:val="multilevel"/>
    <w:tmpl w:val="CF52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14296"/>
    <w:multiLevelType w:val="multilevel"/>
    <w:tmpl w:val="870C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23963"/>
    <w:multiLevelType w:val="multilevel"/>
    <w:tmpl w:val="AC048A9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31374">
    <w:abstractNumId w:val="9"/>
  </w:num>
  <w:num w:numId="2" w16cid:durableId="1589343206">
    <w:abstractNumId w:val="24"/>
  </w:num>
  <w:num w:numId="3" w16cid:durableId="1254049305">
    <w:abstractNumId w:val="28"/>
  </w:num>
  <w:num w:numId="4" w16cid:durableId="1949120838">
    <w:abstractNumId w:val="7"/>
  </w:num>
  <w:num w:numId="5" w16cid:durableId="1909150713">
    <w:abstractNumId w:val="6"/>
  </w:num>
  <w:num w:numId="6" w16cid:durableId="1033192746">
    <w:abstractNumId w:val="10"/>
  </w:num>
  <w:num w:numId="7" w16cid:durableId="522521442">
    <w:abstractNumId w:val="19"/>
  </w:num>
  <w:num w:numId="8" w16cid:durableId="1324355368">
    <w:abstractNumId w:val="8"/>
  </w:num>
  <w:num w:numId="9" w16cid:durableId="912662388">
    <w:abstractNumId w:val="4"/>
  </w:num>
  <w:num w:numId="10" w16cid:durableId="1449081465">
    <w:abstractNumId w:val="27"/>
  </w:num>
  <w:num w:numId="11" w16cid:durableId="2137946243">
    <w:abstractNumId w:val="11"/>
  </w:num>
  <w:num w:numId="12" w16cid:durableId="310525483">
    <w:abstractNumId w:val="16"/>
  </w:num>
  <w:num w:numId="13" w16cid:durableId="927468621">
    <w:abstractNumId w:val="1"/>
  </w:num>
  <w:num w:numId="14" w16cid:durableId="484319681">
    <w:abstractNumId w:val="21"/>
  </w:num>
  <w:num w:numId="15" w16cid:durableId="456605512">
    <w:abstractNumId w:val="17"/>
  </w:num>
  <w:num w:numId="16" w16cid:durableId="1915044952">
    <w:abstractNumId w:val="14"/>
  </w:num>
  <w:num w:numId="17" w16cid:durableId="864711234">
    <w:abstractNumId w:val="26"/>
  </w:num>
  <w:num w:numId="18" w16cid:durableId="304969651">
    <w:abstractNumId w:val="0"/>
  </w:num>
  <w:num w:numId="19" w16cid:durableId="1857159216">
    <w:abstractNumId w:val="25"/>
  </w:num>
  <w:num w:numId="20" w16cid:durableId="1803645839">
    <w:abstractNumId w:val="13"/>
  </w:num>
  <w:num w:numId="21" w16cid:durableId="2025130118">
    <w:abstractNumId w:val="2"/>
  </w:num>
  <w:num w:numId="22" w16cid:durableId="944536937">
    <w:abstractNumId w:val="23"/>
  </w:num>
  <w:num w:numId="23" w16cid:durableId="2040037081">
    <w:abstractNumId w:val="12"/>
  </w:num>
  <w:num w:numId="24" w16cid:durableId="242224402">
    <w:abstractNumId w:val="3"/>
  </w:num>
  <w:num w:numId="25" w16cid:durableId="406609656">
    <w:abstractNumId w:val="22"/>
  </w:num>
  <w:num w:numId="26" w16cid:durableId="153113498">
    <w:abstractNumId w:val="5"/>
  </w:num>
  <w:num w:numId="27" w16cid:durableId="1878733655">
    <w:abstractNumId w:val="20"/>
  </w:num>
  <w:num w:numId="28" w16cid:durableId="1448357588">
    <w:abstractNumId w:val="18"/>
  </w:num>
  <w:num w:numId="29" w16cid:durableId="5512790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227B"/>
    <w:rsid w:val="00064C89"/>
    <w:rsid w:val="0007731C"/>
    <w:rsid w:val="000846D6"/>
    <w:rsid w:val="000972C5"/>
    <w:rsid w:val="000A1A19"/>
    <w:rsid w:val="000C6141"/>
    <w:rsid w:val="000D007E"/>
    <w:rsid w:val="000D2C4D"/>
    <w:rsid w:val="000E7E4E"/>
    <w:rsid w:val="000F1FD1"/>
    <w:rsid w:val="00111054"/>
    <w:rsid w:val="00116E6C"/>
    <w:rsid w:val="00123FCD"/>
    <w:rsid w:val="001363B9"/>
    <w:rsid w:val="00147305"/>
    <w:rsid w:val="00152FEC"/>
    <w:rsid w:val="00154C0B"/>
    <w:rsid w:val="001609A1"/>
    <w:rsid w:val="00162243"/>
    <w:rsid w:val="00167B0C"/>
    <w:rsid w:val="00172C95"/>
    <w:rsid w:val="00184371"/>
    <w:rsid w:val="001944AB"/>
    <w:rsid w:val="001A0E7B"/>
    <w:rsid w:val="001C6D1D"/>
    <w:rsid w:val="001D00B1"/>
    <w:rsid w:val="001E1DBE"/>
    <w:rsid w:val="001E4F39"/>
    <w:rsid w:val="001F3729"/>
    <w:rsid w:val="00205BEF"/>
    <w:rsid w:val="0023361A"/>
    <w:rsid w:val="00234E85"/>
    <w:rsid w:val="00235879"/>
    <w:rsid w:val="00243030"/>
    <w:rsid w:val="002479A2"/>
    <w:rsid w:val="00250561"/>
    <w:rsid w:val="0025474C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35DFF"/>
    <w:rsid w:val="00343389"/>
    <w:rsid w:val="00343808"/>
    <w:rsid w:val="00344CA8"/>
    <w:rsid w:val="003B0ADA"/>
    <w:rsid w:val="003B2970"/>
    <w:rsid w:val="003B37BF"/>
    <w:rsid w:val="003C08C7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60D55"/>
    <w:rsid w:val="00464079"/>
    <w:rsid w:val="00464316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367D"/>
    <w:rsid w:val="004C6FCD"/>
    <w:rsid w:val="004C76A9"/>
    <w:rsid w:val="004F3537"/>
    <w:rsid w:val="005064D5"/>
    <w:rsid w:val="0051769A"/>
    <w:rsid w:val="005239D8"/>
    <w:rsid w:val="0054523A"/>
    <w:rsid w:val="00546478"/>
    <w:rsid w:val="0054759B"/>
    <w:rsid w:val="005536B2"/>
    <w:rsid w:val="00562D66"/>
    <w:rsid w:val="00570A89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707708"/>
    <w:rsid w:val="007156E8"/>
    <w:rsid w:val="0072195B"/>
    <w:rsid w:val="007305A6"/>
    <w:rsid w:val="0073240B"/>
    <w:rsid w:val="007555E6"/>
    <w:rsid w:val="00763982"/>
    <w:rsid w:val="007670BC"/>
    <w:rsid w:val="00784C44"/>
    <w:rsid w:val="0078562D"/>
    <w:rsid w:val="007A7B20"/>
    <w:rsid w:val="007B31D0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981"/>
    <w:rsid w:val="008334D9"/>
    <w:rsid w:val="00837FCA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610B"/>
    <w:rsid w:val="008F2BFF"/>
    <w:rsid w:val="008F2CE8"/>
    <w:rsid w:val="00902F1F"/>
    <w:rsid w:val="009242DE"/>
    <w:rsid w:val="00925DCD"/>
    <w:rsid w:val="009270AF"/>
    <w:rsid w:val="0093653A"/>
    <w:rsid w:val="00945644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5E7C"/>
    <w:rsid w:val="00A30B88"/>
    <w:rsid w:val="00A36BDB"/>
    <w:rsid w:val="00A60733"/>
    <w:rsid w:val="00A66142"/>
    <w:rsid w:val="00A750F3"/>
    <w:rsid w:val="00A87816"/>
    <w:rsid w:val="00A87B9B"/>
    <w:rsid w:val="00AA7970"/>
    <w:rsid w:val="00AB0E76"/>
    <w:rsid w:val="00AB20F2"/>
    <w:rsid w:val="00AB2A44"/>
    <w:rsid w:val="00AC3DD4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96BAD"/>
    <w:rsid w:val="00BA3290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7057"/>
    <w:rsid w:val="00C547FA"/>
    <w:rsid w:val="00C62740"/>
    <w:rsid w:val="00C82079"/>
    <w:rsid w:val="00C964B0"/>
    <w:rsid w:val="00CA0DCF"/>
    <w:rsid w:val="00CA7463"/>
    <w:rsid w:val="00CC62BA"/>
    <w:rsid w:val="00CE71D2"/>
    <w:rsid w:val="00CF3ACB"/>
    <w:rsid w:val="00CF553F"/>
    <w:rsid w:val="00D04303"/>
    <w:rsid w:val="00D16963"/>
    <w:rsid w:val="00D201C8"/>
    <w:rsid w:val="00D81A42"/>
    <w:rsid w:val="00D95F57"/>
    <w:rsid w:val="00D97091"/>
    <w:rsid w:val="00DA78AA"/>
    <w:rsid w:val="00DB38BE"/>
    <w:rsid w:val="00DB6253"/>
    <w:rsid w:val="00DC2B4B"/>
    <w:rsid w:val="00DD3311"/>
    <w:rsid w:val="00DE14B9"/>
    <w:rsid w:val="00DE1C2C"/>
    <w:rsid w:val="00DF72BB"/>
    <w:rsid w:val="00DF787D"/>
    <w:rsid w:val="00E01BFF"/>
    <w:rsid w:val="00E0362B"/>
    <w:rsid w:val="00E04C83"/>
    <w:rsid w:val="00E317F7"/>
    <w:rsid w:val="00E40CB8"/>
    <w:rsid w:val="00E456AB"/>
    <w:rsid w:val="00E85BF1"/>
    <w:rsid w:val="00E90BF8"/>
    <w:rsid w:val="00EB0B26"/>
    <w:rsid w:val="00EB2E28"/>
    <w:rsid w:val="00ED2C05"/>
    <w:rsid w:val="00ED7D44"/>
    <w:rsid w:val="00EE04A9"/>
    <w:rsid w:val="00EF19C1"/>
    <w:rsid w:val="00EF6BED"/>
    <w:rsid w:val="00F1374D"/>
    <w:rsid w:val="00F20D1F"/>
    <w:rsid w:val="00F215CB"/>
    <w:rsid w:val="00F307B0"/>
    <w:rsid w:val="00F3358F"/>
    <w:rsid w:val="00F3656C"/>
    <w:rsid w:val="00F40553"/>
    <w:rsid w:val="00F4357F"/>
    <w:rsid w:val="00F43E23"/>
    <w:rsid w:val="00F827D1"/>
    <w:rsid w:val="00F96512"/>
    <w:rsid w:val="00FB6554"/>
    <w:rsid w:val="00FC7B39"/>
    <w:rsid w:val="00FD0C2D"/>
    <w:rsid w:val="00FD3B97"/>
    <w:rsid w:val="00FE4298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2417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17</cp:revision>
  <cp:lastPrinted>2015-12-11T10:48:00Z</cp:lastPrinted>
  <dcterms:created xsi:type="dcterms:W3CDTF">2022-12-23T10:53:00Z</dcterms:created>
  <dcterms:modified xsi:type="dcterms:W3CDTF">2023-01-05T14:24:00Z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