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335C" w14:textId="77777777" w:rsidR="00E04C83" w:rsidRDefault="00E04C83" w:rsidP="00E04C83">
      <w:pPr>
        <w:spacing w:after="0" w:line="240" w:lineRule="auto"/>
        <w:jc w:val="right"/>
      </w:pPr>
    </w:p>
    <w:p w14:paraId="71B63439" w14:textId="77777777" w:rsidR="00310A7F" w:rsidRDefault="00310A7F" w:rsidP="00E04C83">
      <w:pPr>
        <w:spacing w:after="0" w:line="240" w:lineRule="auto"/>
        <w:jc w:val="right"/>
      </w:pPr>
    </w:p>
    <w:p w14:paraId="75FE6CCF" w14:textId="37912CCE" w:rsidR="00310A7F" w:rsidRDefault="00310A7F" w:rsidP="000D026C">
      <w:pPr>
        <w:spacing w:after="0" w:line="240" w:lineRule="auto"/>
        <w:jc w:val="right"/>
        <w:rPr>
          <w:i/>
        </w:rPr>
      </w:pPr>
      <w:r w:rsidRPr="00EB0B26">
        <w:rPr>
          <w:i/>
        </w:rPr>
        <w:t xml:space="preserve">                                                                                   strona 1</w:t>
      </w:r>
    </w:p>
    <w:p w14:paraId="3CA13603" w14:textId="77777777" w:rsidR="00056FDB" w:rsidRPr="00EB0B26" w:rsidRDefault="00056FDB" w:rsidP="00310A7F">
      <w:pPr>
        <w:spacing w:after="0" w:line="240" w:lineRule="auto"/>
        <w:jc w:val="center"/>
        <w:rPr>
          <w:i/>
        </w:rPr>
      </w:pPr>
    </w:p>
    <w:tbl>
      <w:tblPr>
        <w:tblStyle w:val="Tabela-Siatka"/>
        <w:tblpPr w:leftFromText="141" w:rightFromText="141" w:vertAnchor="text" w:horzAnchor="margin" w:tblpY="507"/>
        <w:tblW w:w="0" w:type="auto"/>
        <w:tblLook w:val="04A0" w:firstRow="1" w:lastRow="0" w:firstColumn="1" w:lastColumn="0" w:noHBand="0" w:noVBand="1"/>
      </w:tblPr>
      <w:tblGrid>
        <w:gridCol w:w="1242"/>
        <w:gridCol w:w="567"/>
        <w:gridCol w:w="1701"/>
        <w:gridCol w:w="567"/>
        <w:gridCol w:w="284"/>
        <w:gridCol w:w="3724"/>
        <w:gridCol w:w="1242"/>
      </w:tblGrid>
      <w:tr w:rsidR="00E456AB" w14:paraId="52C6F23C" w14:textId="77777777" w:rsidTr="00454C08">
        <w:tc>
          <w:tcPr>
            <w:tcW w:w="9327" w:type="dxa"/>
            <w:gridSpan w:val="7"/>
            <w:shd w:val="clear" w:color="auto" w:fill="D9D9D9" w:themeFill="background1" w:themeFillShade="D9"/>
          </w:tcPr>
          <w:p w14:paraId="0FA1F1D3" w14:textId="77777777" w:rsidR="00E456AB" w:rsidRPr="003B0ADA" w:rsidRDefault="00E456AB" w:rsidP="004217C2">
            <w:pPr>
              <w:jc w:val="center"/>
              <w:rPr>
                <w:sz w:val="18"/>
                <w:szCs w:val="18"/>
              </w:rPr>
            </w:pPr>
            <w:r>
              <w:rPr>
                <w:b/>
              </w:rPr>
              <w:t>KARTA DO GŁOSOWANIA W POSTĘPOWANIU O ZATWIERDZENIE UKŁADU</w:t>
            </w:r>
          </w:p>
        </w:tc>
      </w:tr>
      <w:tr w:rsidR="007156E8" w14:paraId="1D7794E8" w14:textId="77777777" w:rsidTr="00454C08">
        <w:tc>
          <w:tcPr>
            <w:tcW w:w="9327" w:type="dxa"/>
            <w:gridSpan w:val="7"/>
            <w:shd w:val="clear" w:color="auto" w:fill="D9D9D9" w:themeFill="background1" w:themeFillShade="D9"/>
          </w:tcPr>
          <w:p w14:paraId="3547C5AF" w14:textId="77777777" w:rsidR="007156E8" w:rsidRPr="00152FEC" w:rsidRDefault="00152FEC" w:rsidP="00152FEC">
            <w:pPr>
              <w:jc w:val="center"/>
              <w:rPr>
                <w:sz w:val="18"/>
                <w:szCs w:val="18"/>
              </w:rPr>
            </w:pPr>
            <w:r w:rsidRPr="00152FEC">
              <w:rPr>
                <w:sz w:val="18"/>
                <w:szCs w:val="18"/>
              </w:rPr>
              <w:t>A.</w:t>
            </w:r>
            <w:r>
              <w:rPr>
                <w:sz w:val="18"/>
                <w:szCs w:val="18"/>
              </w:rPr>
              <w:t xml:space="preserve"> </w:t>
            </w:r>
            <w:r w:rsidRPr="00152FEC">
              <w:rPr>
                <w:sz w:val="18"/>
                <w:szCs w:val="18"/>
              </w:rPr>
              <w:t>DŁUŻNIK</w:t>
            </w:r>
          </w:p>
        </w:tc>
      </w:tr>
      <w:tr w:rsidR="00E456AB" w14:paraId="5F4D46BB" w14:textId="77777777" w:rsidTr="00454C08">
        <w:tc>
          <w:tcPr>
            <w:tcW w:w="9327" w:type="dxa"/>
            <w:gridSpan w:val="7"/>
            <w:shd w:val="clear" w:color="auto" w:fill="D9D9D9" w:themeFill="background1" w:themeFillShade="D9"/>
          </w:tcPr>
          <w:p w14:paraId="0F9842F4" w14:textId="77777777" w:rsidR="00E456AB" w:rsidRPr="003D7F27" w:rsidRDefault="003D7F27" w:rsidP="00250561">
            <w:pPr>
              <w:jc w:val="both"/>
              <w:rPr>
                <w:sz w:val="18"/>
                <w:szCs w:val="18"/>
              </w:rPr>
            </w:pPr>
            <w:r>
              <w:rPr>
                <w:sz w:val="18"/>
                <w:szCs w:val="18"/>
              </w:rPr>
              <w:t>A.</w:t>
            </w:r>
            <w:r w:rsidR="007156E8">
              <w:rPr>
                <w:sz w:val="18"/>
                <w:szCs w:val="18"/>
              </w:rPr>
              <w:t>1. I</w:t>
            </w:r>
            <w:r w:rsidR="00E456AB" w:rsidRPr="003D7F27">
              <w:rPr>
                <w:sz w:val="18"/>
                <w:szCs w:val="18"/>
              </w:rPr>
              <w:t xml:space="preserve">mię i nazwisko, numer PESEL albo rodzaj i numer dokumentu potwierdzającego tożsamość dłużnika, nieposiadającego numeru PESEL/nazwa </w:t>
            </w:r>
            <w:r w:rsidR="00C222B9">
              <w:rPr>
                <w:sz w:val="18"/>
                <w:szCs w:val="18"/>
              </w:rPr>
              <w:t>ze wskazaniem</w:t>
            </w:r>
            <w:r w:rsidRPr="003D7F27">
              <w:rPr>
                <w:sz w:val="18"/>
                <w:szCs w:val="18"/>
              </w:rPr>
              <w:t xml:space="preserve"> numer</w:t>
            </w:r>
            <w:r w:rsidR="00C222B9">
              <w:rPr>
                <w:sz w:val="18"/>
                <w:szCs w:val="18"/>
              </w:rPr>
              <w:t>u</w:t>
            </w:r>
            <w:r w:rsidRPr="003D7F27">
              <w:rPr>
                <w:sz w:val="18"/>
                <w:szCs w:val="18"/>
              </w:rPr>
              <w:t xml:space="preserve"> w </w:t>
            </w:r>
            <w:r w:rsidR="00250561">
              <w:rPr>
                <w:sz w:val="18"/>
                <w:szCs w:val="18"/>
              </w:rPr>
              <w:t>Krajowym Rejestrze Sądowym</w:t>
            </w:r>
            <w:r w:rsidRPr="003D7F27">
              <w:rPr>
                <w:sz w:val="18"/>
                <w:szCs w:val="18"/>
              </w:rPr>
              <w:t xml:space="preserve"> </w:t>
            </w:r>
            <w:r w:rsidR="00E456AB" w:rsidRPr="003D7F27">
              <w:rPr>
                <w:sz w:val="18"/>
                <w:szCs w:val="18"/>
              </w:rPr>
              <w:t>albo numer</w:t>
            </w:r>
            <w:r w:rsidR="00C222B9">
              <w:rPr>
                <w:sz w:val="18"/>
                <w:szCs w:val="18"/>
              </w:rPr>
              <w:t>u</w:t>
            </w:r>
            <w:r w:rsidR="00E456AB" w:rsidRPr="003D7F27">
              <w:rPr>
                <w:sz w:val="18"/>
                <w:szCs w:val="18"/>
              </w:rPr>
              <w:t xml:space="preserve"> w rejestrze zagranicznym; w przypadku braku wskazanych danych należy podać inne dane umożliwiające jedn</w:t>
            </w:r>
            <w:r w:rsidR="007156E8">
              <w:rPr>
                <w:sz w:val="18"/>
                <w:szCs w:val="18"/>
              </w:rPr>
              <w:t>oznaczną identyfikację dłużnika</w:t>
            </w:r>
          </w:p>
        </w:tc>
      </w:tr>
      <w:tr w:rsidR="00E456AB" w14:paraId="285A09DB" w14:textId="77777777" w:rsidTr="00D977C5">
        <w:trPr>
          <w:trHeight w:val="520"/>
        </w:trPr>
        <w:tc>
          <w:tcPr>
            <w:tcW w:w="9327" w:type="dxa"/>
            <w:gridSpan w:val="7"/>
          </w:tcPr>
          <w:p w14:paraId="51AF1944" w14:textId="77777777" w:rsidR="00E456AB" w:rsidRDefault="000D026C" w:rsidP="000D026C">
            <w:pPr>
              <w:jc w:val="center"/>
              <w:rPr>
                <w:sz w:val="18"/>
                <w:szCs w:val="18"/>
              </w:rPr>
            </w:pPr>
            <w:r w:rsidRPr="000D026C">
              <w:rPr>
                <w:sz w:val="18"/>
                <w:szCs w:val="18"/>
              </w:rPr>
              <w:t>GGH Management 10 spółka z ograniczoną odpowiedzialnością</w:t>
            </w:r>
            <w:r>
              <w:rPr>
                <w:sz w:val="18"/>
                <w:szCs w:val="18"/>
              </w:rPr>
              <w:t xml:space="preserve"> </w:t>
            </w:r>
            <w:r w:rsidRPr="000D026C">
              <w:rPr>
                <w:sz w:val="18"/>
                <w:szCs w:val="18"/>
              </w:rPr>
              <w:t>z siedzibą w Warszawie</w:t>
            </w:r>
          </w:p>
          <w:p w14:paraId="329F67B3" w14:textId="3BF8D7D7" w:rsidR="000D026C" w:rsidRDefault="000D026C" w:rsidP="000D026C">
            <w:pPr>
              <w:jc w:val="center"/>
            </w:pPr>
            <w:r w:rsidRPr="000D026C">
              <w:rPr>
                <w:sz w:val="18"/>
                <w:szCs w:val="18"/>
              </w:rPr>
              <w:t xml:space="preserve">KRS: </w:t>
            </w:r>
            <w:r>
              <w:t xml:space="preserve"> </w:t>
            </w:r>
            <w:r w:rsidRPr="000D026C">
              <w:rPr>
                <w:sz w:val="18"/>
                <w:szCs w:val="18"/>
              </w:rPr>
              <w:t xml:space="preserve">0000654184, NIP: </w:t>
            </w:r>
            <w:r>
              <w:t xml:space="preserve"> </w:t>
            </w:r>
            <w:r w:rsidRPr="000D026C">
              <w:rPr>
                <w:sz w:val="18"/>
                <w:szCs w:val="18"/>
              </w:rPr>
              <w:t xml:space="preserve">5223080205, REGON: </w:t>
            </w:r>
            <w:r>
              <w:t xml:space="preserve"> </w:t>
            </w:r>
            <w:r w:rsidRPr="000D026C">
              <w:rPr>
                <w:sz w:val="18"/>
                <w:szCs w:val="18"/>
              </w:rPr>
              <w:t>36616054000000</w:t>
            </w:r>
            <w:r w:rsidRPr="000D026C">
              <w:rPr>
                <w:sz w:val="18"/>
                <w:szCs w:val="18"/>
              </w:rPr>
              <w:tab/>
            </w:r>
          </w:p>
        </w:tc>
      </w:tr>
      <w:tr w:rsidR="00E456AB" w14:paraId="2DD08D05" w14:textId="77777777" w:rsidTr="00D977C5">
        <w:trPr>
          <w:trHeight w:val="530"/>
        </w:trPr>
        <w:tc>
          <w:tcPr>
            <w:tcW w:w="1809" w:type="dxa"/>
            <w:gridSpan w:val="2"/>
            <w:shd w:val="clear" w:color="auto" w:fill="D9D9D9" w:themeFill="background1" w:themeFillShade="D9"/>
          </w:tcPr>
          <w:p w14:paraId="2138E982" w14:textId="77777777" w:rsidR="00E456AB" w:rsidRPr="000340A6" w:rsidRDefault="007305A6" w:rsidP="00250561">
            <w:pPr>
              <w:rPr>
                <w:sz w:val="18"/>
                <w:szCs w:val="18"/>
              </w:rPr>
            </w:pPr>
            <w:r>
              <w:rPr>
                <w:sz w:val="18"/>
                <w:szCs w:val="18"/>
              </w:rPr>
              <w:t>A.</w:t>
            </w:r>
            <w:r w:rsidR="00152FEC">
              <w:rPr>
                <w:sz w:val="18"/>
                <w:szCs w:val="18"/>
              </w:rPr>
              <w:t>2</w:t>
            </w:r>
            <w:r w:rsidR="003D7F27">
              <w:rPr>
                <w:sz w:val="18"/>
                <w:szCs w:val="18"/>
              </w:rPr>
              <w:t>.</w:t>
            </w:r>
            <w:r w:rsidR="00250561">
              <w:rPr>
                <w:sz w:val="18"/>
                <w:szCs w:val="18"/>
              </w:rPr>
              <w:t xml:space="preserve"> </w:t>
            </w:r>
            <w:r w:rsidR="00E456AB">
              <w:rPr>
                <w:sz w:val="18"/>
                <w:szCs w:val="18"/>
              </w:rPr>
              <w:t>Miejsce zamieszkania albo siedziba</w:t>
            </w:r>
          </w:p>
        </w:tc>
        <w:tc>
          <w:tcPr>
            <w:tcW w:w="7518" w:type="dxa"/>
            <w:gridSpan w:val="5"/>
          </w:tcPr>
          <w:p w14:paraId="1F62D6A0" w14:textId="0A161F83" w:rsidR="00E456AB" w:rsidRPr="000340A6" w:rsidRDefault="000D026C" w:rsidP="00E456AB">
            <w:pPr>
              <w:jc w:val="center"/>
              <w:rPr>
                <w:sz w:val="18"/>
                <w:szCs w:val="18"/>
              </w:rPr>
            </w:pPr>
            <w:r>
              <w:rPr>
                <w:sz w:val="18"/>
                <w:szCs w:val="18"/>
              </w:rPr>
              <w:t>Warszawa</w:t>
            </w:r>
          </w:p>
        </w:tc>
      </w:tr>
      <w:tr w:rsidR="00E456AB" w14:paraId="3631600B" w14:textId="77777777" w:rsidTr="00D977C5">
        <w:trPr>
          <w:trHeight w:val="578"/>
        </w:trPr>
        <w:tc>
          <w:tcPr>
            <w:tcW w:w="1809" w:type="dxa"/>
            <w:gridSpan w:val="2"/>
            <w:shd w:val="clear" w:color="auto" w:fill="D9D9D9" w:themeFill="background1" w:themeFillShade="D9"/>
          </w:tcPr>
          <w:p w14:paraId="34BECAF0" w14:textId="77777777" w:rsidR="00E456AB" w:rsidRDefault="00152FEC" w:rsidP="00250561">
            <w:pPr>
              <w:rPr>
                <w:sz w:val="18"/>
                <w:szCs w:val="18"/>
              </w:rPr>
            </w:pPr>
            <w:r>
              <w:rPr>
                <w:sz w:val="18"/>
                <w:szCs w:val="18"/>
              </w:rPr>
              <w:t>A.3</w:t>
            </w:r>
            <w:r w:rsidR="003D7F27">
              <w:rPr>
                <w:sz w:val="18"/>
                <w:szCs w:val="18"/>
              </w:rPr>
              <w:t>.</w:t>
            </w:r>
            <w:r w:rsidR="00250561">
              <w:rPr>
                <w:sz w:val="18"/>
                <w:szCs w:val="18"/>
              </w:rPr>
              <w:t xml:space="preserve"> </w:t>
            </w:r>
            <w:r w:rsidR="00E456AB">
              <w:rPr>
                <w:sz w:val="18"/>
                <w:szCs w:val="18"/>
              </w:rPr>
              <w:t>Adres (nazwa ulicy, nr domu, numer lokalu, kod pocztowy, poczta</w:t>
            </w:r>
            <w:r w:rsidR="00DF72BB">
              <w:rPr>
                <w:sz w:val="18"/>
                <w:szCs w:val="18"/>
              </w:rPr>
              <w:t>)</w:t>
            </w:r>
          </w:p>
        </w:tc>
        <w:tc>
          <w:tcPr>
            <w:tcW w:w="7518" w:type="dxa"/>
            <w:gridSpan w:val="5"/>
          </w:tcPr>
          <w:p w14:paraId="167C3607" w14:textId="0367BF24" w:rsidR="00E456AB" w:rsidRDefault="000D026C" w:rsidP="00E456AB">
            <w:pPr>
              <w:jc w:val="center"/>
              <w:rPr>
                <w:sz w:val="18"/>
                <w:szCs w:val="18"/>
              </w:rPr>
            </w:pPr>
            <w:r>
              <w:rPr>
                <w:sz w:val="18"/>
                <w:szCs w:val="18"/>
              </w:rPr>
              <w:t>aleje Jerozolimskie 94, 00-807 Warszawa</w:t>
            </w:r>
          </w:p>
        </w:tc>
      </w:tr>
      <w:tr w:rsidR="00E456AB" w14:paraId="35293AD9" w14:textId="77777777" w:rsidTr="00454C08">
        <w:trPr>
          <w:trHeight w:val="814"/>
        </w:trPr>
        <w:tc>
          <w:tcPr>
            <w:tcW w:w="9327" w:type="dxa"/>
            <w:gridSpan w:val="7"/>
            <w:shd w:val="clear" w:color="auto" w:fill="D9D9D9" w:themeFill="background1" w:themeFillShade="D9"/>
          </w:tcPr>
          <w:p w14:paraId="1F3E5400" w14:textId="77777777" w:rsidR="00E456AB" w:rsidRPr="000340A6" w:rsidRDefault="00152FEC" w:rsidP="00427319">
            <w:pPr>
              <w:jc w:val="both"/>
              <w:rPr>
                <w:sz w:val="18"/>
                <w:szCs w:val="18"/>
              </w:rPr>
            </w:pPr>
            <w:r>
              <w:rPr>
                <w:sz w:val="18"/>
                <w:szCs w:val="18"/>
              </w:rPr>
              <w:t>A.4</w:t>
            </w:r>
            <w:r w:rsidR="003D7F27">
              <w:rPr>
                <w:sz w:val="18"/>
                <w:szCs w:val="18"/>
              </w:rPr>
              <w:t>.</w:t>
            </w:r>
            <w:r w:rsidR="00250561">
              <w:rPr>
                <w:sz w:val="18"/>
                <w:szCs w:val="18"/>
              </w:rPr>
              <w:t xml:space="preserve"> </w:t>
            </w:r>
            <w:r w:rsidR="00E456AB">
              <w:rPr>
                <w:sz w:val="18"/>
                <w:szCs w:val="18"/>
              </w:rPr>
              <w:t>W przypadku, gdy dłużnikiem jest osoba prawna, spółka osobowa albo inna jednostka organizacyjna nieposiadająca osobowości prawnej, której odrębna ustawa przyznaje zdolność prawną - imiona i nazwiska reprezentantów, w tym likwidatorów, jeżeli są ustanowieni</w:t>
            </w:r>
          </w:p>
        </w:tc>
      </w:tr>
      <w:tr w:rsidR="00AE400D" w14:paraId="62D28AE7" w14:textId="77777777" w:rsidTr="00D977C5">
        <w:trPr>
          <w:trHeight w:val="330"/>
        </w:trPr>
        <w:tc>
          <w:tcPr>
            <w:tcW w:w="1809" w:type="dxa"/>
            <w:gridSpan w:val="2"/>
            <w:shd w:val="clear" w:color="auto" w:fill="D9D9D9" w:themeFill="background1" w:themeFillShade="D9"/>
          </w:tcPr>
          <w:p w14:paraId="09C36F2D" w14:textId="77777777" w:rsidR="00AE400D" w:rsidRDefault="00AE400D" w:rsidP="00E456AB">
            <w:pPr>
              <w:jc w:val="center"/>
              <w:rPr>
                <w:sz w:val="18"/>
                <w:szCs w:val="18"/>
              </w:rPr>
            </w:pPr>
            <w:r>
              <w:rPr>
                <w:sz w:val="18"/>
                <w:szCs w:val="18"/>
              </w:rPr>
              <w:t xml:space="preserve">Imię i nazwisko </w:t>
            </w:r>
          </w:p>
        </w:tc>
        <w:tc>
          <w:tcPr>
            <w:tcW w:w="2268" w:type="dxa"/>
            <w:gridSpan w:val="2"/>
            <w:shd w:val="clear" w:color="auto" w:fill="D9D9D9" w:themeFill="background1" w:themeFillShade="D9"/>
          </w:tcPr>
          <w:p w14:paraId="298CCABF" w14:textId="77777777" w:rsidR="00AE400D" w:rsidRDefault="00AE400D" w:rsidP="00E456AB">
            <w:pPr>
              <w:jc w:val="center"/>
              <w:rPr>
                <w:sz w:val="18"/>
                <w:szCs w:val="18"/>
              </w:rPr>
            </w:pPr>
            <w:r>
              <w:rPr>
                <w:sz w:val="18"/>
                <w:szCs w:val="18"/>
              </w:rPr>
              <w:t xml:space="preserve">Funkcja </w:t>
            </w:r>
          </w:p>
        </w:tc>
        <w:tc>
          <w:tcPr>
            <w:tcW w:w="5250" w:type="dxa"/>
            <w:gridSpan w:val="3"/>
            <w:shd w:val="clear" w:color="auto" w:fill="D9D9D9" w:themeFill="background1" w:themeFillShade="D9"/>
          </w:tcPr>
          <w:p w14:paraId="194ABA1C" w14:textId="77777777" w:rsidR="00AE400D" w:rsidRDefault="00AE400D" w:rsidP="00E456AB">
            <w:pPr>
              <w:jc w:val="center"/>
              <w:rPr>
                <w:sz w:val="18"/>
                <w:szCs w:val="18"/>
              </w:rPr>
            </w:pPr>
            <w:r>
              <w:rPr>
                <w:sz w:val="18"/>
                <w:szCs w:val="18"/>
              </w:rPr>
              <w:t>Sposób reprezentacji</w:t>
            </w:r>
          </w:p>
        </w:tc>
      </w:tr>
      <w:tr w:rsidR="00AE400D" w14:paraId="7B83FD0D" w14:textId="77777777" w:rsidTr="00D977C5">
        <w:trPr>
          <w:trHeight w:val="330"/>
        </w:trPr>
        <w:tc>
          <w:tcPr>
            <w:tcW w:w="1809" w:type="dxa"/>
            <w:gridSpan w:val="2"/>
          </w:tcPr>
          <w:p w14:paraId="4227ABBD" w14:textId="25E4DB87" w:rsidR="00AE400D" w:rsidRDefault="007901B9" w:rsidP="00E456AB">
            <w:pPr>
              <w:jc w:val="center"/>
              <w:rPr>
                <w:sz w:val="18"/>
                <w:szCs w:val="18"/>
              </w:rPr>
            </w:pPr>
            <w:r>
              <w:rPr>
                <w:sz w:val="18"/>
                <w:szCs w:val="18"/>
              </w:rPr>
              <w:t>Marek Łęcki</w:t>
            </w:r>
          </w:p>
        </w:tc>
        <w:tc>
          <w:tcPr>
            <w:tcW w:w="2268" w:type="dxa"/>
            <w:gridSpan w:val="2"/>
          </w:tcPr>
          <w:p w14:paraId="06F45A1D" w14:textId="5D82C67C" w:rsidR="00AE400D" w:rsidRDefault="000D026C" w:rsidP="00E456AB">
            <w:pPr>
              <w:jc w:val="center"/>
              <w:rPr>
                <w:sz w:val="18"/>
                <w:szCs w:val="18"/>
              </w:rPr>
            </w:pPr>
            <w:r>
              <w:rPr>
                <w:sz w:val="18"/>
                <w:szCs w:val="18"/>
              </w:rPr>
              <w:t>Prezes Zarządu</w:t>
            </w:r>
          </w:p>
        </w:tc>
        <w:tc>
          <w:tcPr>
            <w:tcW w:w="5250" w:type="dxa"/>
            <w:gridSpan w:val="3"/>
          </w:tcPr>
          <w:p w14:paraId="6731C5F4" w14:textId="45A0A53F" w:rsidR="00AE400D" w:rsidRDefault="007901B9" w:rsidP="00E456AB">
            <w:pPr>
              <w:jc w:val="center"/>
              <w:rPr>
                <w:sz w:val="18"/>
                <w:szCs w:val="18"/>
              </w:rPr>
            </w:pPr>
            <w:r>
              <w:rPr>
                <w:sz w:val="18"/>
                <w:szCs w:val="18"/>
              </w:rPr>
              <w:t>S</w:t>
            </w:r>
            <w:r w:rsidRPr="000D026C">
              <w:rPr>
                <w:sz w:val="18"/>
                <w:szCs w:val="18"/>
              </w:rPr>
              <w:t>półka reprezentowana jest przez dwóch członków zarządu działających łącznie</w:t>
            </w:r>
            <w:r w:rsidR="00D977C5">
              <w:rPr>
                <w:sz w:val="18"/>
                <w:szCs w:val="18"/>
              </w:rPr>
              <w:t xml:space="preserve"> (aktualnie w skład zarządu wchodzi jeden członek).</w:t>
            </w:r>
          </w:p>
        </w:tc>
      </w:tr>
      <w:tr w:rsidR="00E456AB" w14:paraId="5B166436" w14:textId="77777777" w:rsidTr="000D026C">
        <w:trPr>
          <w:trHeight w:val="422"/>
        </w:trPr>
        <w:tc>
          <w:tcPr>
            <w:tcW w:w="9327" w:type="dxa"/>
            <w:gridSpan w:val="7"/>
            <w:tcBorders>
              <w:bottom w:val="single" w:sz="4" w:space="0" w:color="auto"/>
            </w:tcBorders>
            <w:shd w:val="clear" w:color="auto" w:fill="D9D9D9" w:themeFill="background1" w:themeFillShade="D9"/>
          </w:tcPr>
          <w:p w14:paraId="64819AA4" w14:textId="77777777" w:rsidR="00E456AB" w:rsidRDefault="002A1DA1" w:rsidP="00825981">
            <w:pPr>
              <w:jc w:val="both"/>
              <w:rPr>
                <w:sz w:val="18"/>
                <w:szCs w:val="18"/>
              </w:rPr>
            </w:pPr>
            <w:r>
              <w:rPr>
                <w:sz w:val="18"/>
                <w:szCs w:val="18"/>
              </w:rPr>
              <w:t>A.5</w:t>
            </w:r>
            <w:r w:rsidR="003D7F27">
              <w:rPr>
                <w:sz w:val="18"/>
                <w:szCs w:val="18"/>
              </w:rPr>
              <w:t>.</w:t>
            </w:r>
            <w:r w:rsidR="00250561">
              <w:rPr>
                <w:sz w:val="18"/>
                <w:szCs w:val="18"/>
              </w:rPr>
              <w:t xml:space="preserve"> </w:t>
            </w:r>
            <w:r w:rsidR="00E456AB">
              <w:rPr>
                <w:sz w:val="18"/>
                <w:szCs w:val="18"/>
              </w:rPr>
              <w:t>W przypadku spółki osobowej – imiona i nazwiska oraz miejsce zamieszkania wspólników odpowiadających za zobowiązanie spółki bez ograniczenia całym swoim majątkiem</w:t>
            </w:r>
          </w:p>
        </w:tc>
      </w:tr>
      <w:tr w:rsidR="00E456AB" w14:paraId="3846EFE4" w14:textId="77777777" w:rsidTr="007901B9">
        <w:trPr>
          <w:trHeight w:val="275"/>
        </w:trPr>
        <w:tc>
          <w:tcPr>
            <w:tcW w:w="9327" w:type="dxa"/>
            <w:gridSpan w:val="7"/>
            <w:tcBorders>
              <w:tr2bl w:val="single" w:sz="4" w:space="0" w:color="auto"/>
            </w:tcBorders>
          </w:tcPr>
          <w:p w14:paraId="22AF8B6F" w14:textId="77777777" w:rsidR="00E456AB" w:rsidRDefault="00E456AB" w:rsidP="007901B9">
            <w:pPr>
              <w:rPr>
                <w:sz w:val="18"/>
                <w:szCs w:val="18"/>
              </w:rPr>
            </w:pPr>
          </w:p>
          <w:p w14:paraId="5BB91910" w14:textId="77777777" w:rsidR="007901B9" w:rsidRDefault="007901B9" w:rsidP="007901B9">
            <w:pPr>
              <w:rPr>
                <w:sz w:val="18"/>
                <w:szCs w:val="18"/>
              </w:rPr>
            </w:pPr>
          </w:p>
          <w:p w14:paraId="050F5545" w14:textId="08939CA9" w:rsidR="007901B9" w:rsidRPr="007901B9" w:rsidRDefault="007901B9" w:rsidP="007901B9">
            <w:pPr>
              <w:tabs>
                <w:tab w:val="left" w:pos="3720"/>
              </w:tabs>
              <w:rPr>
                <w:sz w:val="18"/>
                <w:szCs w:val="18"/>
              </w:rPr>
            </w:pPr>
          </w:p>
        </w:tc>
      </w:tr>
      <w:tr w:rsidR="00E456AB" w14:paraId="511219AB" w14:textId="77777777" w:rsidTr="00454C08">
        <w:trPr>
          <w:trHeight w:val="265"/>
        </w:trPr>
        <w:tc>
          <w:tcPr>
            <w:tcW w:w="9327" w:type="dxa"/>
            <w:gridSpan w:val="7"/>
            <w:shd w:val="clear" w:color="auto" w:fill="D9D9D9" w:themeFill="background1" w:themeFillShade="D9"/>
          </w:tcPr>
          <w:p w14:paraId="146DBDAC" w14:textId="77777777" w:rsidR="00E456AB" w:rsidRDefault="003D7F27" w:rsidP="00E456AB">
            <w:pPr>
              <w:jc w:val="center"/>
              <w:rPr>
                <w:sz w:val="18"/>
                <w:szCs w:val="18"/>
              </w:rPr>
            </w:pPr>
            <w:r>
              <w:rPr>
                <w:sz w:val="18"/>
                <w:szCs w:val="18"/>
              </w:rPr>
              <w:t xml:space="preserve">B. </w:t>
            </w:r>
            <w:r w:rsidR="00E456AB">
              <w:rPr>
                <w:sz w:val="18"/>
                <w:szCs w:val="18"/>
              </w:rPr>
              <w:t>WIERZYCIEL</w:t>
            </w:r>
          </w:p>
        </w:tc>
      </w:tr>
      <w:tr w:rsidR="00E456AB" w14:paraId="5A505394" w14:textId="77777777" w:rsidTr="00454C08">
        <w:trPr>
          <w:trHeight w:val="422"/>
        </w:trPr>
        <w:tc>
          <w:tcPr>
            <w:tcW w:w="9327" w:type="dxa"/>
            <w:gridSpan w:val="7"/>
            <w:shd w:val="clear" w:color="auto" w:fill="D9D9D9" w:themeFill="background1" w:themeFillShade="D9"/>
          </w:tcPr>
          <w:p w14:paraId="3E6F9913" w14:textId="77777777" w:rsidR="00E456AB" w:rsidRDefault="003D7F27" w:rsidP="00E40CB8">
            <w:pPr>
              <w:jc w:val="both"/>
              <w:rPr>
                <w:sz w:val="18"/>
                <w:szCs w:val="18"/>
              </w:rPr>
            </w:pPr>
            <w:r>
              <w:rPr>
                <w:sz w:val="18"/>
                <w:szCs w:val="18"/>
              </w:rPr>
              <w:t>B.1.</w:t>
            </w:r>
            <w:r w:rsidR="00250561">
              <w:rPr>
                <w:sz w:val="18"/>
                <w:szCs w:val="18"/>
              </w:rPr>
              <w:t xml:space="preserve"> </w:t>
            </w:r>
            <w:r w:rsidR="00E456AB">
              <w:rPr>
                <w:sz w:val="18"/>
                <w:szCs w:val="18"/>
              </w:rPr>
              <w:t>Imię i nazwisko głosu</w:t>
            </w:r>
            <w:r w:rsidR="00825981">
              <w:rPr>
                <w:sz w:val="18"/>
                <w:szCs w:val="18"/>
              </w:rPr>
              <w:t>jącego wierzyciela, numer PESEL</w:t>
            </w:r>
            <w:r w:rsidR="00E456AB">
              <w:rPr>
                <w:sz w:val="18"/>
                <w:szCs w:val="18"/>
              </w:rPr>
              <w:t xml:space="preserve">, a w przypadku </w:t>
            </w:r>
            <w:r w:rsidR="00DF72BB">
              <w:rPr>
                <w:sz w:val="18"/>
                <w:szCs w:val="18"/>
              </w:rPr>
              <w:t>jego</w:t>
            </w:r>
            <w:r w:rsidR="00E456AB">
              <w:rPr>
                <w:sz w:val="18"/>
                <w:szCs w:val="18"/>
              </w:rPr>
              <w:t xml:space="preserve"> braku inne dane umożliwiające jego jednoznaczną identyfikację albo</w:t>
            </w:r>
            <w:r w:rsidR="00825981">
              <w:rPr>
                <w:sz w:val="18"/>
                <w:szCs w:val="18"/>
              </w:rPr>
              <w:t xml:space="preserve"> n</w:t>
            </w:r>
            <w:r w:rsidR="00E456AB">
              <w:rPr>
                <w:sz w:val="18"/>
                <w:szCs w:val="18"/>
              </w:rPr>
              <w:t xml:space="preserve">azwę </w:t>
            </w:r>
            <w:r w:rsidR="00DF72BB">
              <w:rPr>
                <w:sz w:val="18"/>
                <w:szCs w:val="18"/>
              </w:rPr>
              <w:t xml:space="preserve">głosującego </w:t>
            </w:r>
            <w:r w:rsidR="00E456AB">
              <w:rPr>
                <w:sz w:val="18"/>
                <w:szCs w:val="18"/>
              </w:rPr>
              <w:t xml:space="preserve">wierzyciela, numer w </w:t>
            </w:r>
            <w:r w:rsidR="00250561">
              <w:rPr>
                <w:sz w:val="18"/>
                <w:szCs w:val="18"/>
              </w:rPr>
              <w:t>Krajowym Rejestrze Sądowym</w:t>
            </w:r>
            <w:r w:rsidR="00E456AB">
              <w:rPr>
                <w:sz w:val="18"/>
                <w:szCs w:val="18"/>
              </w:rPr>
              <w:t>, a w przypadku jego braku – inne dane umożliwiające jego identyfikację</w:t>
            </w:r>
          </w:p>
        </w:tc>
      </w:tr>
      <w:tr w:rsidR="00E456AB" w14:paraId="500B81C7" w14:textId="77777777" w:rsidTr="00454C08">
        <w:trPr>
          <w:trHeight w:val="746"/>
        </w:trPr>
        <w:tc>
          <w:tcPr>
            <w:tcW w:w="9327" w:type="dxa"/>
            <w:gridSpan w:val="7"/>
          </w:tcPr>
          <w:p w14:paraId="56A34143" w14:textId="77777777" w:rsidR="00E456AB" w:rsidRDefault="00E456AB" w:rsidP="0061435F">
            <w:pPr>
              <w:jc w:val="center"/>
              <w:rPr>
                <w:sz w:val="18"/>
                <w:szCs w:val="18"/>
              </w:rPr>
            </w:pPr>
          </w:p>
        </w:tc>
      </w:tr>
      <w:tr w:rsidR="0062747E" w14:paraId="66C13F1D" w14:textId="77777777" w:rsidTr="00454C08">
        <w:trPr>
          <w:trHeight w:val="267"/>
        </w:trPr>
        <w:tc>
          <w:tcPr>
            <w:tcW w:w="9327" w:type="dxa"/>
            <w:gridSpan w:val="7"/>
            <w:shd w:val="clear" w:color="auto" w:fill="D9D9D9" w:themeFill="background1" w:themeFillShade="D9"/>
          </w:tcPr>
          <w:p w14:paraId="647E9259" w14:textId="77777777" w:rsidR="0062747E" w:rsidRDefault="00454C08" w:rsidP="007555E6">
            <w:pPr>
              <w:jc w:val="center"/>
              <w:rPr>
                <w:sz w:val="18"/>
                <w:szCs w:val="18"/>
              </w:rPr>
            </w:pPr>
            <w:r>
              <w:rPr>
                <w:sz w:val="18"/>
                <w:szCs w:val="18"/>
              </w:rPr>
              <w:t xml:space="preserve">B. </w:t>
            </w:r>
            <w:r w:rsidR="002A1DA1">
              <w:rPr>
                <w:sz w:val="18"/>
                <w:szCs w:val="18"/>
              </w:rPr>
              <w:t>2</w:t>
            </w:r>
            <w:r>
              <w:rPr>
                <w:sz w:val="18"/>
                <w:szCs w:val="18"/>
              </w:rPr>
              <w:t xml:space="preserve">. </w:t>
            </w:r>
            <w:r w:rsidR="0062747E">
              <w:rPr>
                <w:sz w:val="18"/>
                <w:szCs w:val="18"/>
              </w:rPr>
              <w:t>Treść głos</w:t>
            </w:r>
            <w:r w:rsidR="00925DCD">
              <w:rPr>
                <w:sz w:val="18"/>
                <w:szCs w:val="18"/>
              </w:rPr>
              <w:t>u</w:t>
            </w:r>
            <w:r>
              <w:rPr>
                <w:sz w:val="18"/>
                <w:szCs w:val="18"/>
              </w:rPr>
              <w:t xml:space="preserve"> (zakreślić właściwy kwadrat)</w:t>
            </w:r>
          </w:p>
        </w:tc>
      </w:tr>
      <w:tr w:rsidR="0062747E" w14:paraId="29566BD8" w14:textId="77777777" w:rsidTr="00454C08">
        <w:trPr>
          <w:trHeight w:val="479"/>
        </w:trPr>
        <w:tc>
          <w:tcPr>
            <w:tcW w:w="4361" w:type="dxa"/>
            <w:gridSpan w:val="5"/>
            <w:shd w:val="clear" w:color="auto" w:fill="FFFFFF" w:themeFill="background1"/>
          </w:tcPr>
          <w:p w14:paraId="1E9F3320" w14:textId="77777777" w:rsidR="0062747E" w:rsidRPr="00454C08" w:rsidRDefault="00454C08" w:rsidP="00454C08">
            <w:pPr>
              <w:pStyle w:val="Akapitzlist"/>
              <w:numPr>
                <w:ilvl w:val="0"/>
                <w:numId w:val="6"/>
              </w:numPr>
              <w:jc w:val="center"/>
              <w:rPr>
                <w:sz w:val="32"/>
                <w:szCs w:val="32"/>
              </w:rPr>
            </w:pPr>
            <w:r w:rsidRPr="00454C08">
              <w:rPr>
                <w:sz w:val="32"/>
                <w:szCs w:val="32"/>
              </w:rPr>
              <w:t>ZA UKŁADEM</w:t>
            </w:r>
          </w:p>
        </w:tc>
        <w:tc>
          <w:tcPr>
            <w:tcW w:w="4966" w:type="dxa"/>
            <w:gridSpan w:val="2"/>
            <w:shd w:val="clear" w:color="auto" w:fill="FFFFFF" w:themeFill="background1"/>
          </w:tcPr>
          <w:p w14:paraId="5C790234" w14:textId="77777777" w:rsidR="0062747E" w:rsidRPr="00454C08" w:rsidRDefault="00454C08" w:rsidP="00454C08">
            <w:pPr>
              <w:pStyle w:val="Akapitzlist"/>
              <w:numPr>
                <w:ilvl w:val="0"/>
                <w:numId w:val="6"/>
              </w:numPr>
              <w:jc w:val="center"/>
              <w:rPr>
                <w:sz w:val="32"/>
                <w:szCs w:val="32"/>
              </w:rPr>
            </w:pPr>
            <w:r w:rsidRPr="00454C08">
              <w:rPr>
                <w:sz w:val="32"/>
                <w:szCs w:val="32"/>
              </w:rPr>
              <w:t>PRZECIW UKŁADOWI</w:t>
            </w:r>
          </w:p>
        </w:tc>
      </w:tr>
      <w:tr w:rsidR="00E456AB" w14:paraId="453C5F90" w14:textId="77777777" w:rsidTr="00454C08">
        <w:trPr>
          <w:trHeight w:val="287"/>
        </w:trPr>
        <w:tc>
          <w:tcPr>
            <w:tcW w:w="9327" w:type="dxa"/>
            <w:gridSpan w:val="7"/>
            <w:shd w:val="clear" w:color="auto" w:fill="D9D9D9" w:themeFill="background1" w:themeFillShade="D9"/>
          </w:tcPr>
          <w:p w14:paraId="737406F8" w14:textId="77777777" w:rsidR="00E456AB" w:rsidRPr="000D026C" w:rsidRDefault="00454C08" w:rsidP="007555E6">
            <w:pPr>
              <w:jc w:val="center"/>
              <w:rPr>
                <w:rFonts w:cstheme="minorHAnsi"/>
                <w:sz w:val="18"/>
                <w:szCs w:val="18"/>
              </w:rPr>
            </w:pPr>
            <w:r w:rsidRPr="000D026C">
              <w:rPr>
                <w:rFonts w:cstheme="minorHAnsi"/>
                <w:sz w:val="18"/>
                <w:szCs w:val="18"/>
              </w:rPr>
              <w:t>B.</w:t>
            </w:r>
            <w:r w:rsidR="002A1DA1" w:rsidRPr="000D026C">
              <w:rPr>
                <w:rFonts w:cstheme="minorHAnsi"/>
                <w:sz w:val="18"/>
                <w:szCs w:val="18"/>
              </w:rPr>
              <w:t>3</w:t>
            </w:r>
            <w:r w:rsidR="003D7F27" w:rsidRPr="000D026C">
              <w:rPr>
                <w:rFonts w:cstheme="minorHAnsi"/>
                <w:sz w:val="18"/>
                <w:szCs w:val="18"/>
              </w:rPr>
              <w:t>.</w:t>
            </w:r>
            <w:r w:rsidR="002A1DA1" w:rsidRPr="000D026C">
              <w:rPr>
                <w:rFonts w:cstheme="minorHAnsi"/>
                <w:sz w:val="18"/>
                <w:szCs w:val="18"/>
              </w:rPr>
              <w:t xml:space="preserve"> </w:t>
            </w:r>
            <w:r w:rsidR="00E456AB" w:rsidRPr="000D026C">
              <w:rPr>
                <w:rFonts w:cstheme="minorHAnsi"/>
                <w:sz w:val="18"/>
                <w:szCs w:val="18"/>
              </w:rPr>
              <w:t>Kwota wierzytelności głosującego wierzyciela</w:t>
            </w:r>
          </w:p>
        </w:tc>
      </w:tr>
      <w:tr w:rsidR="008A4E8C" w14:paraId="64C81BF0" w14:textId="77777777" w:rsidTr="00D977C5">
        <w:trPr>
          <w:trHeight w:val="361"/>
        </w:trPr>
        <w:tc>
          <w:tcPr>
            <w:tcW w:w="9327" w:type="dxa"/>
            <w:gridSpan w:val="7"/>
          </w:tcPr>
          <w:p w14:paraId="382B00BD" w14:textId="2A8BC87B" w:rsidR="007901B9" w:rsidRPr="000D026C" w:rsidRDefault="007901B9" w:rsidP="0061435F">
            <w:pPr>
              <w:jc w:val="center"/>
              <w:rPr>
                <w:rFonts w:cstheme="minorHAnsi"/>
                <w:sz w:val="18"/>
                <w:szCs w:val="18"/>
              </w:rPr>
            </w:pPr>
          </w:p>
        </w:tc>
      </w:tr>
      <w:tr w:rsidR="003E29DC" w14:paraId="0578DD4B" w14:textId="77777777" w:rsidTr="00806CB4">
        <w:trPr>
          <w:trHeight w:val="369"/>
        </w:trPr>
        <w:tc>
          <w:tcPr>
            <w:tcW w:w="3510" w:type="dxa"/>
            <w:gridSpan w:val="3"/>
            <w:shd w:val="clear" w:color="auto" w:fill="D9D9D9" w:themeFill="background1" w:themeFillShade="D9"/>
          </w:tcPr>
          <w:p w14:paraId="6BE4B8C0" w14:textId="77777777" w:rsidR="003E29DC" w:rsidRDefault="002A1DA1" w:rsidP="003E29DC">
            <w:pPr>
              <w:rPr>
                <w:sz w:val="18"/>
                <w:szCs w:val="18"/>
              </w:rPr>
            </w:pPr>
            <w:r>
              <w:rPr>
                <w:sz w:val="18"/>
                <w:szCs w:val="18"/>
              </w:rPr>
              <w:t>B.4</w:t>
            </w:r>
            <w:r w:rsidR="003E29DC">
              <w:rPr>
                <w:sz w:val="18"/>
                <w:szCs w:val="18"/>
              </w:rPr>
              <w:t>.</w:t>
            </w:r>
            <w:r w:rsidR="00427319">
              <w:rPr>
                <w:sz w:val="18"/>
                <w:szCs w:val="18"/>
              </w:rPr>
              <w:t xml:space="preserve"> </w:t>
            </w:r>
            <w:r w:rsidR="003E29DC">
              <w:rPr>
                <w:sz w:val="18"/>
                <w:szCs w:val="18"/>
              </w:rPr>
              <w:t>Miejsce zamieszkania albo siedziba</w:t>
            </w:r>
          </w:p>
        </w:tc>
        <w:tc>
          <w:tcPr>
            <w:tcW w:w="5817" w:type="dxa"/>
            <w:gridSpan w:val="4"/>
          </w:tcPr>
          <w:p w14:paraId="4090938A" w14:textId="37DB8EB2" w:rsidR="003E29DC" w:rsidRDefault="003E29DC" w:rsidP="00E456AB">
            <w:pPr>
              <w:ind w:left="360"/>
              <w:jc w:val="center"/>
              <w:rPr>
                <w:sz w:val="18"/>
                <w:szCs w:val="18"/>
              </w:rPr>
            </w:pPr>
          </w:p>
        </w:tc>
      </w:tr>
      <w:tr w:rsidR="006A0A32" w14:paraId="051D7E9D" w14:textId="77777777" w:rsidTr="00806CB4">
        <w:trPr>
          <w:trHeight w:val="417"/>
        </w:trPr>
        <w:tc>
          <w:tcPr>
            <w:tcW w:w="3510" w:type="dxa"/>
            <w:gridSpan w:val="3"/>
            <w:shd w:val="clear" w:color="auto" w:fill="D9D9D9" w:themeFill="background1" w:themeFillShade="D9"/>
          </w:tcPr>
          <w:p w14:paraId="08CE36A7" w14:textId="77777777" w:rsidR="006A0A32" w:rsidRDefault="002A1DA1" w:rsidP="006A0A32">
            <w:pPr>
              <w:rPr>
                <w:sz w:val="18"/>
                <w:szCs w:val="18"/>
              </w:rPr>
            </w:pPr>
            <w:r>
              <w:rPr>
                <w:sz w:val="18"/>
                <w:szCs w:val="18"/>
              </w:rPr>
              <w:t>B.5</w:t>
            </w:r>
            <w:r w:rsidR="006A0A32">
              <w:rPr>
                <w:sz w:val="18"/>
                <w:szCs w:val="18"/>
              </w:rPr>
              <w:t>.</w:t>
            </w:r>
            <w:r w:rsidR="00427319">
              <w:rPr>
                <w:sz w:val="18"/>
                <w:szCs w:val="18"/>
              </w:rPr>
              <w:t xml:space="preserve"> </w:t>
            </w:r>
            <w:r w:rsidR="006A0A32">
              <w:rPr>
                <w:sz w:val="18"/>
                <w:szCs w:val="18"/>
              </w:rPr>
              <w:t>Adres wierzyciela (nazwa ulicy, nr domu, numer lokalu, kod pocztowy, poczta</w:t>
            </w:r>
            <w:r w:rsidR="00806CB4">
              <w:rPr>
                <w:sz w:val="18"/>
                <w:szCs w:val="18"/>
              </w:rPr>
              <w:t>)</w:t>
            </w:r>
          </w:p>
        </w:tc>
        <w:tc>
          <w:tcPr>
            <w:tcW w:w="5817" w:type="dxa"/>
            <w:gridSpan w:val="4"/>
          </w:tcPr>
          <w:p w14:paraId="6A13652E" w14:textId="3D0B21DA" w:rsidR="006A0A32" w:rsidRDefault="006A0A32" w:rsidP="00E456AB">
            <w:pPr>
              <w:ind w:left="360"/>
              <w:jc w:val="center"/>
              <w:rPr>
                <w:sz w:val="18"/>
                <w:szCs w:val="18"/>
              </w:rPr>
            </w:pPr>
          </w:p>
        </w:tc>
      </w:tr>
      <w:tr w:rsidR="007C143E" w14:paraId="25C85F9B" w14:textId="77777777" w:rsidTr="00080610">
        <w:trPr>
          <w:trHeight w:val="417"/>
        </w:trPr>
        <w:tc>
          <w:tcPr>
            <w:tcW w:w="9327" w:type="dxa"/>
            <w:gridSpan w:val="7"/>
            <w:shd w:val="clear" w:color="auto" w:fill="D9D9D9" w:themeFill="background1" w:themeFillShade="D9"/>
          </w:tcPr>
          <w:p w14:paraId="578F0BE6" w14:textId="77777777" w:rsidR="007C143E" w:rsidRDefault="002A1DA1" w:rsidP="006715C2">
            <w:pPr>
              <w:jc w:val="both"/>
              <w:rPr>
                <w:sz w:val="18"/>
                <w:szCs w:val="18"/>
              </w:rPr>
            </w:pPr>
            <w:r>
              <w:rPr>
                <w:sz w:val="18"/>
                <w:szCs w:val="18"/>
              </w:rPr>
              <w:t>B.6</w:t>
            </w:r>
            <w:r w:rsidR="008F2BFF">
              <w:rPr>
                <w:sz w:val="18"/>
                <w:szCs w:val="18"/>
              </w:rPr>
              <w:t>.</w:t>
            </w:r>
            <w:r w:rsidR="00427319">
              <w:rPr>
                <w:sz w:val="18"/>
                <w:szCs w:val="18"/>
              </w:rPr>
              <w:t xml:space="preserve"> </w:t>
            </w:r>
            <w:r w:rsidR="008F2BFF">
              <w:rPr>
                <w:sz w:val="18"/>
                <w:szCs w:val="18"/>
              </w:rPr>
              <w:t>W przypadku, gdy wierzyciel jest spółką osobową albo inną jednostką organizacyjną nieposiadającą osobowości prawnej, której odrębna ustawa przyznaje zdolność prawną – imiona i nazwiska reprezentantów, w tym likwidatorów, jeżeli są ustanowieni</w:t>
            </w:r>
          </w:p>
        </w:tc>
      </w:tr>
      <w:tr w:rsidR="00111054" w14:paraId="09E15C11" w14:textId="77777777" w:rsidTr="00D977C5">
        <w:trPr>
          <w:trHeight w:val="105"/>
        </w:trPr>
        <w:tc>
          <w:tcPr>
            <w:tcW w:w="1809" w:type="dxa"/>
            <w:gridSpan w:val="2"/>
            <w:tcBorders>
              <w:bottom w:val="single" w:sz="4" w:space="0" w:color="auto"/>
            </w:tcBorders>
            <w:shd w:val="clear" w:color="auto" w:fill="D9D9D9" w:themeFill="background1" w:themeFillShade="D9"/>
          </w:tcPr>
          <w:p w14:paraId="13088A1D" w14:textId="77777777" w:rsidR="00111054" w:rsidRDefault="005C2BCA" w:rsidP="00E456AB">
            <w:pPr>
              <w:ind w:left="360"/>
              <w:jc w:val="center"/>
              <w:rPr>
                <w:sz w:val="18"/>
                <w:szCs w:val="18"/>
              </w:rPr>
            </w:pPr>
            <w:r>
              <w:rPr>
                <w:sz w:val="18"/>
                <w:szCs w:val="18"/>
              </w:rPr>
              <w:t>Imię i nazwisko</w:t>
            </w:r>
          </w:p>
        </w:tc>
        <w:tc>
          <w:tcPr>
            <w:tcW w:w="2268" w:type="dxa"/>
            <w:gridSpan w:val="2"/>
            <w:tcBorders>
              <w:bottom w:val="single" w:sz="4" w:space="0" w:color="auto"/>
            </w:tcBorders>
            <w:shd w:val="clear" w:color="auto" w:fill="D9D9D9" w:themeFill="background1" w:themeFillShade="D9"/>
          </w:tcPr>
          <w:p w14:paraId="49A734FB" w14:textId="77777777" w:rsidR="00111054" w:rsidRDefault="005C2BCA" w:rsidP="00E456AB">
            <w:pPr>
              <w:ind w:left="360"/>
              <w:jc w:val="center"/>
              <w:rPr>
                <w:sz w:val="18"/>
                <w:szCs w:val="18"/>
              </w:rPr>
            </w:pPr>
            <w:r>
              <w:rPr>
                <w:sz w:val="18"/>
                <w:szCs w:val="18"/>
              </w:rPr>
              <w:t>Funkcja</w:t>
            </w:r>
          </w:p>
        </w:tc>
        <w:tc>
          <w:tcPr>
            <w:tcW w:w="5250" w:type="dxa"/>
            <w:gridSpan w:val="3"/>
            <w:tcBorders>
              <w:bottom w:val="single" w:sz="4" w:space="0" w:color="auto"/>
            </w:tcBorders>
            <w:shd w:val="clear" w:color="auto" w:fill="D9D9D9" w:themeFill="background1" w:themeFillShade="D9"/>
          </w:tcPr>
          <w:p w14:paraId="2EA84EBC" w14:textId="77777777" w:rsidR="00111054" w:rsidRDefault="005C2BCA" w:rsidP="005C2BCA">
            <w:pPr>
              <w:jc w:val="center"/>
              <w:rPr>
                <w:sz w:val="18"/>
                <w:szCs w:val="18"/>
              </w:rPr>
            </w:pPr>
            <w:r>
              <w:rPr>
                <w:sz w:val="18"/>
                <w:szCs w:val="18"/>
              </w:rPr>
              <w:t>Sposób reprezentacji</w:t>
            </w:r>
          </w:p>
        </w:tc>
      </w:tr>
      <w:tr w:rsidR="00111054" w14:paraId="3D0E925F" w14:textId="77777777" w:rsidTr="00D977C5">
        <w:trPr>
          <w:trHeight w:val="105"/>
        </w:trPr>
        <w:tc>
          <w:tcPr>
            <w:tcW w:w="1809" w:type="dxa"/>
            <w:gridSpan w:val="2"/>
            <w:shd w:val="clear" w:color="auto" w:fill="FFFFFF" w:themeFill="background1"/>
          </w:tcPr>
          <w:p w14:paraId="25959C85" w14:textId="4C13B32B" w:rsidR="00111054" w:rsidRDefault="00111054" w:rsidP="00E456AB">
            <w:pPr>
              <w:ind w:left="360"/>
              <w:jc w:val="center"/>
              <w:rPr>
                <w:sz w:val="18"/>
                <w:szCs w:val="18"/>
              </w:rPr>
            </w:pPr>
          </w:p>
        </w:tc>
        <w:tc>
          <w:tcPr>
            <w:tcW w:w="2268" w:type="dxa"/>
            <w:gridSpan w:val="2"/>
            <w:shd w:val="clear" w:color="auto" w:fill="FFFFFF" w:themeFill="background1"/>
          </w:tcPr>
          <w:p w14:paraId="291C1015" w14:textId="2D4F08DC" w:rsidR="005C2BCA" w:rsidRDefault="005C2BCA" w:rsidP="00E456AB">
            <w:pPr>
              <w:ind w:left="360"/>
              <w:jc w:val="center"/>
              <w:rPr>
                <w:sz w:val="18"/>
                <w:szCs w:val="18"/>
              </w:rPr>
            </w:pPr>
          </w:p>
        </w:tc>
        <w:tc>
          <w:tcPr>
            <w:tcW w:w="5250" w:type="dxa"/>
            <w:gridSpan w:val="3"/>
            <w:shd w:val="clear" w:color="auto" w:fill="FFFFFF" w:themeFill="background1"/>
          </w:tcPr>
          <w:p w14:paraId="34A1C4FB" w14:textId="2DFEBE4A" w:rsidR="00111054" w:rsidRDefault="00111054" w:rsidP="00E456AB">
            <w:pPr>
              <w:ind w:left="360"/>
              <w:jc w:val="center"/>
              <w:rPr>
                <w:sz w:val="18"/>
                <w:szCs w:val="18"/>
              </w:rPr>
            </w:pPr>
          </w:p>
        </w:tc>
      </w:tr>
      <w:tr w:rsidR="00111054" w14:paraId="6230B57D" w14:textId="77777777" w:rsidTr="00D977C5">
        <w:trPr>
          <w:trHeight w:val="105"/>
        </w:trPr>
        <w:tc>
          <w:tcPr>
            <w:tcW w:w="1809" w:type="dxa"/>
            <w:gridSpan w:val="2"/>
            <w:tcBorders>
              <w:tr2bl w:val="single" w:sz="4" w:space="0" w:color="auto"/>
            </w:tcBorders>
            <w:shd w:val="clear" w:color="auto" w:fill="FFFFFF" w:themeFill="background1"/>
          </w:tcPr>
          <w:p w14:paraId="73122166" w14:textId="77777777" w:rsidR="00111054" w:rsidRDefault="00111054" w:rsidP="00E456AB">
            <w:pPr>
              <w:ind w:left="360"/>
              <w:jc w:val="center"/>
              <w:rPr>
                <w:sz w:val="18"/>
                <w:szCs w:val="18"/>
              </w:rPr>
            </w:pPr>
          </w:p>
        </w:tc>
        <w:tc>
          <w:tcPr>
            <w:tcW w:w="2268" w:type="dxa"/>
            <w:gridSpan w:val="2"/>
            <w:tcBorders>
              <w:tr2bl w:val="single" w:sz="4" w:space="0" w:color="auto"/>
            </w:tcBorders>
            <w:shd w:val="clear" w:color="auto" w:fill="FFFFFF" w:themeFill="background1"/>
          </w:tcPr>
          <w:p w14:paraId="7DF23001" w14:textId="77777777" w:rsidR="005C2BCA" w:rsidRDefault="005C2BCA" w:rsidP="00E456AB">
            <w:pPr>
              <w:ind w:left="360"/>
              <w:jc w:val="center"/>
              <w:rPr>
                <w:sz w:val="18"/>
                <w:szCs w:val="18"/>
              </w:rPr>
            </w:pPr>
          </w:p>
        </w:tc>
        <w:tc>
          <w:tcPr>
            <w:tcW w:w="5250" w:type="dxa"/>
            <w:gridSpan w:val="3"/>
            <w:tcBorders>
              <w:tr2bl w:val="single" w:sz="4" w:space="0" w:color="auto"/>
            </w:tcBorders>
            <w:shd w:val="clear" w:color="auto" w:fill="FFFFFF" w:themeFill="background1"/>
          </w:tcPr>
          <w:p w14:paraId="4F289032" w14:textId="77777777" w:rsidR="00111054" w:rsidRDefault="00111054" w:rsidP="00E456AB">
            <w:pPr>
              <w:ind w:left="360"/>
              <w:jc w:val="center"/>
              <w:rPr>
                <w:sz w:val="18"/>
                <w:szCs w:val="18"/>
              </w:rPr>
            </w:pPr>
          </w:p>
        </w:tc>
      </w:tr>
      <w:tr w:rsidR="00111054" w14:paraId="5CCFBD63" w14:textId="77777777" w:rsidTr="00D977C5">
        <w:trPr>
          <w:trHeight w:val="105"/>
        </w:trPr>
        <w:tc>
          <w:tcPr>
            <w:tcW w:w="1809" w:type="dxa"/>
            <w:gridSpan w:val="2"/>
            <w:tcBorders>
              <w:tr2bl w:val="single" w:sz="4" w:space="0" w:color="auto"/>
            </w:tcBorders>
            <w:shd w:val="clear" w:color="auto" w:fill="FFFFFF" w:themeFill="background1"/>
          </w:tcPr>
          <w:p w14:paraId="01AF68C3" w14:textId="77777777" w:rsidR="00111054" w:rsidRDefault="00111054" w:rsidP="00E456AB">
            <w:pPr>
              <w:ind w:left="360"/>
              <w:jc w:val="center"/>
              <w:rPr>
                <w:sz w:val="18"/>
                <w:szCs w:val="18"/>
              </w:rPr>
            </w:pPr>
          </w:p>
        </w:tc>
        <w:tc>
          <w:tcPr>
            <w:tcW w:w="2268" w:type="dxa"/>
            <w:gridSpan w:val="2"/>
            <w:tcBorders>
              <w:tr2bl w:val="single" w:sz="4" w:space="0" w:color="auto"/>
            </w:tcBorders>
            <w:shd w:val="clear" w:color="auto" w:fill="FFFFFF" w:themeFill="background1"/>
          </w:tcPr>
          <w:p w14:paraId="1ADCB01F" w14:textId="77777777" w:rsidR="005C2BCA" w:rsidRDefault="005C2BCA" w:rsidP="00E456AB">
            <w:pPr>
              <w:ind w:left="360"/>
              <w:jc w:val="center"/>
              <w:rPr>
                <w:sz w:val="18"/>
                <w:szCs w:val="18"/>
              </w:rPr>
            </w:pPr>
          </w:p>
        </w:tc>
        <w:tc>
          <w:tcPr>
            <w:tcW w:w="5250" w:type="dxa"/>
            <w:gridSpan w:val="3"/>
            <w:tcBorders>
              <w:tr2bl w:val="single" w:sz="4" w:space="0" w:color="auto"/>
            </w:tcBorders>
            <w:shd w:val="clear" w:color="auto" w:fill="FFFFFF" w:themeFill="background1"/>
          </w:tcPr>
          <w:p w14:paraId="1F5D63F0" w14:textId="77777777" w:rsidR="00111054" w:rsidRDefault="00111054" w:rsidP="00E456AB">
            <w:pPr>
              <w:ind w:left="360"/>
              <w:jc w:val="center"/>
              <w:rPr>
                <w:sz w:val="18"/>
                <w:szCs w:val="18"/>
              </w:rPr>
            </w:pPr>
          </w:p>
        </w:tc>
      </w:tr>
      <w:tr w:rsidR="00E456AB" w14:paraId="50D008E5" w14:textId="77777777" w:rsidTr="00454C08">
        <w:trPr>
          <w:trHeight w:val="98"/>
        </w:trPr>
        <w:tc>
          <w:tcPr>
            <w:tcW w:w="9327" w:type="dxa"/>
            <w:gridSpan w:val="7"/>
            <w:shd w:val="clear" w:color="auto" w:fill="D9D9D9" w:themeFill="background1" w:themeFillShade="D9"/>
          </w:tcPr>
          <w:p w14:paraId="28A15895" w14:textId="77777777" w:rsidR="00E456AB" w:rsidRPr="00454C08" w:rsidRDefault="002A1DA1" w:rsidP="00454C08">
            <w:pPr>
              <w:rPr>
                <w:sz w:val="18"/>
                <w:szCs w:val="18"/>
              </w:rPr>
            </w:pPr>
            <w:r>
              <w:rPr>
                <w:sz w:val="18"/>
                <w:szCs w:val="18"/>
              </w:rPr>
              <w:t>B.7</w:t>
            </w:r>
            <w:r w:rsidR="003D7F27" w:rsidRPr="00454C08">
              <w:rPr>
                <w:sz w:val="18"/>
                <w:szCs w:val="18"/>
              </w:rPr>
              <w:t>.</w:t>
            </w:r>
            <w:r w:rsidR="00E40CB8">
              <w:rPr>
                <w:sz w:val="18"/>
                <w:szCs w:val="18"/>
              </w:rPr>
              <w:t xml:space="preserve"> </w:t>
            </w:r>
            <w:r w:rsidR="00E456AB" w:rsidRPr="00454C08">
              <w:rPr>
                <w:sz w:val="18"/>
                <w:szCs w:val="18"/>
              </w:rPr>
              <w:t>Grupa obejmująca kategorię interesu, jeżeli zostały przewidziane, do której został zaliczony głosujący wierzyciel</w:t>
            </w:r>
          </w:p>
        </w:tc>
      </w:tr>
      <w:tr w:rsidR="00454C08" w14:paraId="73A62AC5" w14:textId="77777777" w:rsidTr="008669B5">
        <w:trPr>
          <w:trHeight w:val="218"/>
        </w:trPr>
        <w:tc>
          <w:tcPr>
            <w:tcW w:w="1242" w:type="dxa"/>
            <w:vMerge w:val="restart"/>
            <w:tcBorders>
              <w:bottom w:val="single" w:sz="4" w:space="0" w:color="auto"/>
            </w:tcBorders>
            <w:shd w:val="clear" w:color="auto" w:fill="D9D9D9" w:themeFill="background1" w:themeFillShade="D9"/>
          </w:tcPr>
          <w:p w14:paraId="57F21EF1" w14:textId="77777777" w:rsidR="00454C08" w:rsidRPr="00454C08" w:rsidRDefault="002A1DA1" w:rsidP="00454C08">
            <w:pPr>
              <w:rPr>
                <w:sz w:val="18"/>
                <w:szCs w:val="18"/>
              </w:rPr>
            </w:pPr>
            <w:r>
              <w:rPr>
                <w:sz w:val="18"/>
                <w:szCs w:val="18"/>
              </w:rPr>
              <w:t>B.7</w:t>
            </w:r>
            <w:r w:rsidR="00454C08" w:rsidRPr="00454C08">
              <w:rPr>
                <w:sz w:val="18"/>
                <w:szCs w:val="18"/>
              </w:rPr>
              <w:t>.1.</w:t>
            </w:r>
            <w:r w:rsidR="00E40CB8">
              <w:rPr>
                <w:sz w:val="18"/>
                <w:szCs w:val="18"/>
              </w:rPr>
              <w:t xml:space="preserve"> </w:t>
            </w:r>
            <w:r w:rsidR="00454C08" w:rsidRPr="00454C08">
              <w:rPr>
                <w:sz w:val="18"/>
                <w:szCs w:val="18"/>
              </w:rPr>
              <w:t>Numer Grupy</w:t>
            </w:r>
          </w:p>
        </w:tc>
        <w:tc>
          <w:tcPr>
            <w:tcW w:w="8085" w:type="dxa"/>
            <w:gridSpan w:val="6"/>
            <w:tcBorders>
              <w:bottom w:val="single" w:sz="4" w:space="0" w:color="auto"/>
            </w:tcBorders>
            <w:shd w:val="clear" w:color="auto" w:fill="D9D9D9" w:themeFill="background1" w:themeFillShade="D9"/>
          </w:tcPr>
          <w:p w14:paraId="7E99F703" w14:textId="77777777" w:rsidR="00454C08" w:rsidRPr="00454C08" w:rsidRDefault="002A1DA1" w:rsidP="00454C08">
            <w:pPr>
              <w:rPr>
                <w:sz w:val="18"/>
                <w:szCs w:val="18"/>
              </w:rPr>
            </w:pPr>
            <w:r>
              <w:rPr>
                <w:sz w:val="18"/>
                <w:szCs w:val="18"/>
              </w:rPr>
              <w:t>B.7</w:t>
            </w:r>
            <w:r w:rsidR="00454C08" w:rsidRPr="00454C08">
              <w:rPr>
                <w:sz w:val="18"/>
                <w:szCs w:val="18"/>
              </w:rPr>
              <w:t>.2.</w:t>
            </w:r>
            <w:r w:rsidR="00E40CB8">
              <w:rPr>
                <w:sz w:val="18"/>
                <w:szCs w:val="18"/>
              </w:rPr>
              <w:t xml:space="preserve"> </w:t>
            </w:r>
            <w:r w:rsidR="00454C08" w:rsidRPr="00454C08">
              <w:rPr>
                <w:sz w:val="18"/>
                <w:szCs w:val="18"/>
              </w:rPr>
              <w:t>Opis Grupy</w:t>
            </w:r>
          </w:p>
        </w:tc>
      </w:tr>
      <w:tr w:rsidR="00454C08" w14:paraId="32B3EC1D" w14:textId="77777777" w:rsidTr="008669B5">
        <w:trPr>
          <w:trHeight w:val="220"/>
        </w:trPr>
        <w:tc>
          <w:tcPr>
            <w:tcW w:w="1242" w:type="dxa"/>
            <w:vMerge/>
            <w:tcBorders>
              <w:tr2bl w:val="single" w:sz="4" w:space="0" w:color="auto"/>
            </w:tcBorders>
            <w:shd w:val="clear" w:color="auto" w:fill="D9D9D9" w:themeFill="background1" w:themeFillShade="D9"/>
          </w:tcPr>
          <w:p w14:paraId="48C3AAFF" w14:textId="77777777" w:rsidR="00454C08" w:rsidRPr="00454C08" w:rsidRDefault="00454C08" w:rsidP="00454C08">
            <w:pPr>
              <w:rPr>
                <w:sz w:val="18"/>
                <w:szCs w:val="18"/>
              </w:rPr>
            </w:pPr>
          </w:p>
        </w:tc>
        <w:tc>
          <w:tcPr>
            <w:tcW w:w="8085" w:type="dxa"/>
            <w:gridSpan w:val="6"/>
            <w:vMerge w:val="restart"/>
            <w:tcBorders>
              <w:tr2bl w:val="single" w:sz="4" w:space="0" w:color="auto"/>
            </w:tcBorders>
            <w:shd w:val="clear" w:color="auto" w:fill="auto"/>
          </w:tcPr>
          <w:p w14:paraId="1583D3FA" w14:textId="77777777" w:rsidR="00454C08" w:rsidRDefault="00454C08" w:rsidP="00454C08">
            <w:pPr>
              <w:rPr>
                <w:sz w:val="18"/>
                <w:szCs w:val="18"/>
              </w:rPr>
            </w:pPr>
          </w:p>
          <w:p w14:paraId="7D67E167" w14:textId="77777777" w:rsidR="00454C08" w:rsidRDefault="00454C08" w:rsidP="00454C08">
            <w:pPr>
              <w:rPr>
                <w:sz w:val="18"/>
                <w:szCs w:val="18"/>
              </w:rPr>
            </w:pPr>
          </w:p>
          <w:p w14:paraId="153F267B" w14:textId="77777777" w:rsidR="00454C08" w:rsidRPr="00454C08" w:rsidRDefault="00454C08" w:rsidP="00454C08">
            <w:pPr>
              <w:rPr>
                <w:sz w:val="18"/>
                <w:szCs w:val="18"/>
              </w:rPr>
            </w:pPr>
          </w:p>
        </w:tc>
      </w:tr>
      <w:tr w:rsidR="00454C08" w14:paraId="13030974" w14:textId="77777777" w:rsidTr="00D977C5">
        <w:trPr>
          <w:trHeight w:val="276"/>
        </w:trPr>
        <w:tc>
          <w:tcPr>
            <w:tcW w:w="1242" w:type="dxa"/>
            <w:tcBorders>
              <w:tr2bl w:val="single" w:sz="4" w:space="0" w:color="auto"/>
            </w:tcBorders>
          </w:tcPr>
          <w:p w14:paraId="3B75ED8D" w14:textId="77777777" w:rsidR="00454C08" w:rsidRDefault="00454C08" w:rsidP="00E456AB">
            <w:pPr>
              <w:pStyle w:val="Akapitzlist"/>
              <w:rPr>
                <w:sz w:val="18"/>
                <w:szCs w:val="18"/>
              </w:rPr>
            </w:pPr>
          </w:p>
        </w:tc>
        <w:tc>
          <w:tcPr>
            <w:tcW w:w="8085" w:type="dxa"/>
            <w:gridSpan w:val="6"/>
            <w:vMerge/>
            <w:tcBorders>
              <w:tr2bl w:val="single" w:sz="4" w:space="0" w:color="auto"/>
            </w:tcBorders>
            <w:shd w:val="clear" w:color="auto" w:fill="auto"/>
          </w:tcPr>
          <w:p w14:paraId="36270BF8" w14:textId="77777777" w:rsidR="00454C08" w:rsidRDefault="00454C08" w:rsidP="00E456AB">
            <w:pPr>
              <w:pStyle w:val="Akapitzlist"/>
              <w:rPr>
                <w:sz w:val="18"/>
                <w:szCs w:val="18"/>
              </w:rPr>
            </w:pPr>
          </w:p>
        </w:tc>
      </w:tr>
      <w:tr w:rsidR="00E456AB" w14:paraId="519B4A03" w14:textId="77777777" w:rsidTr="008669B5">
        <w:trPr>
          <w:trHeight w:val="422"/>
        </w:trPr>
        <w:tc>
          <w:tcPr>
            <w:tcW w:w="9327" w:type="dxa"/>
            <w:gridSpan w:val="7"/>
            <w:tcBorders>
              <w:bottom w:val="single" w:sz="4" w:space="0" w:color="auto"/>
            </w:tcBorders>
            <w:shd w:val="clear" w:color="auto" w:fill="D9D9D9" w:themeFill="background1" w:themeFillShade="D9"/>
          </w:tcPr>
          <w:p w14:paraId="768E713E" w14:textId="77777777" w:rsidR="00E456AB" w:rsidRPr="00454C08" w:rsidRDefault="002A1DA1" w:rsidP="00454C08">
            <w:pPr>
              <w:rPr>
                <w:sz w:val="18"/>
                <w:szCs w:val="18"/>
              </w:rPr>
            </w:pPr>
            <w:r>
              <w:rPr>
                <w:sz w:val="18"/>
                <w:szCs w:val="18"/>
              </w:rPr>
              <w:lastRenderedPageBreak/>
              <w:t>B.8</w:t>
            </w:r>
            <w:r w:rsidR="007305A6" w:rsidRPr="00454C08">
              <w:rPr>
                <w:sz w:val="18"/>
                <w:szCs w:val="18"/>
              </w:rPr>
              <w:t>.</w:t>
            </w:r>
            <w:r w:rsidR="00F96512">
              <w:rPr>
                <w:sz w:val="18"/>
                <w:szCs w:val="18"/>
              </w:rPr>
              <w:t xml:space="preserve"> </w:t>
            </w:r>
            <w:r w:rsidR="00E456AB" w:rsidRPr="00454C08">
              <w:rPr>
                <w:sz w:val="18"/>
                <w:szCs w:val="18"/>
              </w:rPr>
              <w:t>Kwota wierzytelności</w:t>
            </w:r>
            <w:r w:rsidR="00DF72BB" w:rsidRPr="00454C08">
              <w:rPr>
                <w:sz w:val="18"/>
                <w:szCs w:val="18"/>
              </w:rPr>
              <w:t>,</w:t>
            </w:r>
            <w:r w:rsidR="00E456AB" w:rsidRPr="00454C08">
              <w:rPr>
                <w:sz w:val="18"/>
                <w:szCs w:val="18"/>
              </w:rPr>
              <w:t xml:space="preserve"> co do której wymagana jest zgoda wierzyciela na objęcie układem na podstawie art. 151 ust. 2 i 3 ustawy – Prawo restrukturyzacyjne</w:t>
            </w:r>
            <w:r w:rsidR="005536B2">
              <w:rPr>
                <w:sz w:val="18"/>
                <w:szCs w:val="18"/>
              </w:rPr>
              <w:t xml:space="preserve"> (Dz. U. z 2015 r. poz. 978, z </w:t>
            </w:r>
            <w:proofErr w:type="spellStart"/>
            <w:r w:rsidR="005536B2">
              <w:rPr>
                <w:sz w:val="18"/>
                <w:szCs w:val="18"/>
              </w:rPr>
              <w:t>późn</w:t>
            </w:r>
            <w:proofErr w:type="spellEnd"/>
            <w:r w:rsidR="005536B2">
              <w:rPr>
                <w:sz w:val="18"/>
                <w:szCs w:val="18"/>
              </w:rPr>
              <w:t>. zm.)</w:t>
            </w:r>
          </w:p>
        </w:tc>
      </w:tr>
      <w:tr w:rsidR="008A4E8C" w14:paraId="757FED20" w14:textId="77777777" w:rsidTr="008669B5">
        <w:trPr>
          <w:trHeight w:val="105"/>
        </w:trPr>
        <w:tc>
          <w:tcPr>
            <w:tcW w:w="9327" w:type="dxa"/>
            <w:gridSpan w:val="7"/>
            <w:tcBorders>
              <w:tr2bl w:val="single" w:sz="4" w:space="0" w:color="auto"/>
            </w:tcBorders>
          </w:tcPr>
          <w:p w14:paraId="4D7343E9" w14:textId="77777777" w:rsidR="008A4E8C" w:rsidRDefault="008A4E8C" w:rsidP="00E456AB">
            <w:pPr>
              <w:pStyle w:val="Akapitzlist"/>
              <w:rPr>
                <w:sz w:val="18"/>
                <w:szCs w:val="18"/>
              </w:rPr>
            </w:pPr>
          </w:p>
          <w:p w14:paraId="5A010DEC" w14:textId="77777777" w:rsidR="008A4E8C" w:rsidRDefault="008A4E8C" w:rsidP="00E456AB">
            <w:pPr>
              <w:pStyle w:val="Akapitzlist"/>
              <w:rPr>
                <w:sz w:val="18"/>
                <w:szCs w:val="18"/>
              </w:rPr>
            </w:pPr>
          </w:p>
        </w:tc>
      </w:tr>
      <w:tr w:rsidR="00454C08" w14:paraId="7A8C28BC" w14:textId="77777777" w:rsidTr="00454C08">
        <w:trPr>
          <w:trHeight w:val="105"/>
        </w:trPr>
        <w:tc>
          <w:tcPr>
            <w:tcW w:w="4361" w:type="dxa"/>
            <w:gridSpan w:val="5"/>
            <w:shd w:val="clear" w:color="auto" w:fill="D9D9D9" w:themeFill="background1" w:themeFillShade="D9"/>
          </w:tcPr>
          <w:p w14:paraId="47B8CF06" w14:textId="77777777" w:rsidR="00454C08" w:rsidRPr="00454C08" w:rsidRDefault="002A1DA1" w:rsidP="00454C08">
            <w:pPr>
              <w:rPr>
                <w:sz w:val="18"/>
                <w:szCs w:val="18"/>
              </w:rPr>
            </w:pPr>
            <w:r>
              <w:rPr>
                <w:sz w:val="18"/>
                <w:szCs w:val="18"/>
              </w:rPr>
              <w:t>B.9</w:t>
            </w:r>
            <w:r w:rsidR="00454C08" w:rsidRPr="00454C08">
              <w:rPr>
                <w:sz w:val="18"/>
                <w:szCs w:val="18"/>
              </w:rPr>
              <w:t>.</w:t>
            </w:r>
            <w:r w:rsidR="00F96512">
              <w:rPr>
                <w:sz w:val="18"/>
                <w:szCs w:val="18"/>
              </w:rPr>
              <w:t xml:space="preserve"> </w:t>
            </w:r>
            <w:r w:rsidR="00454C08" w:rsidRPr="00454C08">
              <w:rPr>
                <w:sz w:val="18"/>
                <w:szCs w:val="18"/>
              </w:rPr>
              <w:t>Czy wierzyciel wyraża zgodę na objęcie wierzytelności układem (</w:t>
            </w:r>
            <w:r w:rsidR="00454C08">
              <w:rPr>
                <w:sz w:val="18"/>
                <w:szCs w:val="18"/>
              </w:rPr>
              <w:t>zakreślić właściwy kwadrat</w:t>
            </w:r>
            <w:r w:rsidR="00454C08" w:rsidRPr="00454C08">
              <w:rPr>
                <w:sz w:val="18"/>
                <w:szCs w:val="18"/>
              </w:rPr>
              <w:t>)</w:t>
            </w:r>
          </w:p>
        </w:tc>
        <w:tc>
          <w:tcPr>
            <w:tcW w:w="4966" w:type="dxa"/>
            <w:gridSpan w:val="2"/>
            <w:shd w:val="clear" w:color="auto" w:fill="auto"/>
          </w:tcPr>
          <w:p w14:paraId="17EAF053" w14:textId="77777777" w:rsidR="00454C08" w:rsidRDefault="00454C08" w:rsidP="00454C08">
            <w:pPr>
              <w:pStyle w:val="Akapitzlist"/>
              <w:numPr>
                <w:ilvl w:val="0"/>
                <w:numId w:val="8"/>
              </w:numPr>
              <w:jc w:val="center"/>
              <w:rPr>
                <w:sz w:val="18"/>
                <w:szCs w:val="18"/>
              </w:rPr>
            </w:pPr>
            <w:r w:rsidRPr="00454C08">
              <w:rPr>
                <w:sz w:val="18"/>
                <w:szCs w:val="18"/>
              </w:rPr>
              <w:t>TAK</w:t>
            </w:r>
            <w:r>
              <w:rPr>
                <w:sz w:val="18"/>
                <w:szCs w:val="18"/>
              </w:rPr>
              <w:t xml:space="preserve"> </w:t>
            </w:r>
          </w:p>
          <w:p w14:paraId="2B125D25" w14:textId="77777777" w:rsidR="00454C08" w:rsidRPr="00454C08" w:rsidRDefault="00454C08" w:rsidP="00454C08">
            <w:pPr>
              <w:pStyle w:val="Akapitzlist"/>
              <w:numPr>
                <w:ilvl w:val="0"/>
                <w:numId w:val="8"/>
              </w:numPr>
              <w:jc w:val="center"/>
              <w:rPr>
                <w:sz w:val="18"/>
                <w:szCs w:val="18"/>
              </w:rPr>
            </w:pPr>
            <w:r>
              <w:rPr>
                <w:sz w:val="18"/>
                <w:szCs w:val="18"/>
              </w:rPr>
              <w:t>NIE</w:t>
            </w:r>
          </w:p>
        </w:tc>
      </w:tr>
      <w:tr w:rsidR="00454C08" w14:paraId="505B3413" w14:textId="77777777" w:rsidTr="00454C08">
        <w:trPr>
          <w:trHeight w:val="131"/>
        </w:trPr>
        <w:tc>
          <w:tcPr>
            <w:tcW w:w="4361" w:type="dxa"/>
            <w:gridSpan w:val="5"/>
            <w:shd w:val="clear" w:color="auto" w:fill="D9D9D9" w:themeFill="background1" w:themeFillShade="D9"/>
          </w:tcPr>
          <w:p w14:paraId="6E039B65" w14:textId="77777777" w:rsidR="00454C08" w:rsidRPr="00454C08" w:rsidRDefault="002A1DA1" w:rsidP="00454C08">
            <w:pPr>
              <w:rPr>
                <w:sz w:val="18"/>
                <w:szCs w:val="18"/>
              </w:rPr>
            </w:pPr>
            <w:r>
              <w:rPr>
                <w:sz w:val="18"/>
                <w:szCs w:val="18"/>
              </w:rPr>
              <w:t>B.10</w:t>
            </w:r>
            <w:r w:rsidR="00454C08" w:rsidRPr="00454C08">
              <w:rPr>
                <w:sz w:val="18"/>
                <w:szCs w:val="18"/>
              </w:rPr>
              <w:t>. Suma wierzytelności objętych układem</w:t>
            </w:r>
          </w:p>
        </w:tc>
        <w:tc>
          <w:tcPr>
            <w:tcW w:w="4966" w:type="dxa"/>
            <w:gridSpan w:val="2"/>
            <w:shd w:val="clear" w:color="auto" w:fill="D9D9D9" w:themeFill="background1" w:themeFillShade="D9"/>
          </w:tcPr>
          <w:p w14:paraId="1B6D6F80" w14:textId="77777777" w:rsidR="00454C08" w:rsidRPr="00454C08" w:rsidRDefault="002A1DA1" w:rsidP="00454C08">
            <w:pPr>
              <w:rPr>
                <w:sz w:val="18"/>
                <w:szCs w:val="18"/>
              </w:rPr>
            </w:pPr>
            <w:r>
              <w:rPr>
                <w:sz w:val="18"/>
                <w:szCs w:val="18"/>
              </w:rPr>
              <w:t>B.11</w:t>
            </w:r>
            <w:r w:rsidR="00454C08">
              <w:rPr>
                <w:sz w:val="18"/>
                <w:szCs w:val="18"/>
              </w:rPr>
              <w:t>. Dzień układowy</w:t>
            </w:r>
          </w:p>
        </w:tc>
      </w:tr>
      <w:tr w:rsidR="00454C08" w14:paraId="29D10C60" w14:textId="77777777" w:rsidTr="00454C08">
        <w:trPr>
          <w:trHeight w:val="719"/>
        </w:trPr>
        <w:tc>
          <w:tcPr>
            <w:tcW w:w="4361" w:type="dxa"/>
            <w:gridSpan w:val="5"/>
            <w:shd w:val="clear" w:color="auto" w:fill="auto"/>
          </w:tcPr>
          <w:p w14:paraId="00C6C07B" w14:textId="77777777" w:rsidR="00454C08" w:rsidRPr="0006227B" w:rsidRDefault="00454C08" w:rsidP="00823BBD">
            <w:pPr>
              <w:jc w:val="center"/>
              <w:rPr>
                <w:sz w:val="18"/>
                <w:szCs w:val="18"/>
              </w:rPr>
            </w:pPr>
          </w:p>
        </w:tc>
        <w:tc>
          <w:tcPr>
            <w:tcW w:w="4966" w:type="dxa"/>
            <w:gridSpan w:val="2"/>
            <w:shd w:val="clear" w:color="auto" w:fill="auto"/>
          </w:tcPr>
          <w:p w14:paraId="63D2D20C" w14:textId="2C1993FE" w:rsidR="00454C08" w:rsidRPr="0006227B" w:rsidRDefault="008669B5" w:rsidP="00E456AB">
            <w:pPr>
              <w:jc w:val="center"/>
              <w:rPr>
                <w:sz w:val="18"/>
                <w:szCs w:val="18"/>
              </w:rPr>
            </w:pPr>
            <w:r>
              <w:rPr>
                <w:sz w:val="18"/>
                <w:szCs w:val="18"/>
              </w:rPr>
              <w:t>20 października 2022 r.</w:t>
            </w:r>
          </w:p>
        </w:tc>
      </w:tr>
      <w:tr w:rsidR="00E456AB" w14:paraId="1A671F06" w14:textId="77777777" w:rsidTr="00454C08">
        <w:trPr>
          <w:trHeight w:val="224"/>
        </w:trPr>
        <w:tc>
          <w:tcPr>
            <w:tcW w:w="9327" w:type="dxa"/>
            <w:gridSpan w:val="7"/>
            <w:shd w:val="clear" w:color="auto" w:fill="D9D9D9" w:themeFill="background1" w:themeFillShade="D9"/>
          </w:tcPr>
          <w:p w14:paraId="53D48109" w14:textId="77777777" w:rsidR="00E456AB" w:rsidRPr="00454C08" w:rsidRDefault="007305A6" w:rsidP="00454C08">
            <w:pPr>
              <w:rPr>
                <w:sz w:val="18"/>
                <w:szCs w:val="18"/>
              </w:rPr>
            </w:pPr>
            <w:r w:rsidRPr="00454C08">
              <w:rPr>
                <w:sz w:val="18"/>
                <w:szCs w:val="18"/>
              </w:rPr>
              <w:t xml:space="preserve">C. </w:t>
            </w:r>
            <w:r w:rsidR="00E456AB" w:rsidRPr="00454C08">
              <w:rPr>
                <w:sz w:val="18"/>
                <w:szCs w:val="18"/>
              </w:rPr>
              <w:t>Pełna treść propozycji układowych z jednoznacznym wskazaniem, które z propozycji dotyczą głosującego wierzyciela</w:t>
            </w:r>
          </w:p>
        </w:tc>
      </w:tr>
      <w:tr w:rsidR="009030BB" w14:paraId="56304F48" w14:textId="77777777" w:rsidTr="00454C08">
        <w:trPr>
          <w:trHeight w:val="224"/>
        </w:trPr>
        <w:tc>
          <w:tcPr>
            <w:tcW w:w="9327" w:type="dxa"/>
            <w:gridSpan w:val="7"/>
            <w:shd w:val="clear" w:color="auto" w:fill="D9D9D9" w:themeFill="background1" w:themeFillShade="D9"/>
          </w:tcPr>
          <w:p w14:paraId="0BEE75F8" w14:textId="488AB98D" w:rsidR="009030BB" w:rsidRPr="009030BB" w:rsidRDefault="009030BB" w:rsidP="009030BB">
            <w:pPr>
              <w:jc w:val="both"/>
              <w:rPr>
                <w:b/>
                <w:bCs/>
                <w:sz w:val="18"/>
                <w:szCs w:val="18"/>
              </w:rPr>
            </w:pPr>
            <w:r w:rsidRPr="009030BB">
              <w:rPr>
                <w:b/>
                <w:bCs/>
                <w:sz w:val="18"/>
                <w:szCs w:val="18"/>
              </w:rPr>
              <w:t xml:space="preserve">Dłużnik wskazuje, że </w:t>
            </w:r>
            <w:r w:rsidR="000E22F6">
              <w:rPr>
                <w:b/>
                <w:bCs/>
                <w:sz w:val="18"/>
                <w:szCs w:val="18"/>
              </w:rPr>
              <w:t>U</w:t>
            </w:r>
            <w:r w:rsidRPr="009030BB">
              <w:rPr>
                <w:b/>
                <w:bCs/>
                <w:sz w:val="18"/>
                <w:szCs w:val="18"/>
              </w:rPr>
              <w:t xml:space="preserve">kład obejmuje jedynie </w:t>
            </w:r>
            <w:r w:rsidR="000E22F6">
              <w:rPr>
                <w:b/>
                <w:bCs/>
                <w:sz w:val="18"/>
                <w:szCs w:val="18"/>
              </w:rPr>
              <w:t>niektóre wierzytelności</w:t>
            </w:r>
            <w:r w:rsidRPr="009030BB">
              <w:rPr>
                <w:b/>
                <w:bCs/>
                <w:sz w:val="18"/>
                <w:szCs w:val="18"/>
              </w:rPr>
              <w:t xml:space="preserve"> Dłużnika, których restrukturyzacja ma zasadniczy wpływ na dalsze funkcjonowanie przedsiębiorstwa Dłużnika (układ częściowy - art. 180 i nast. </w:t>
            </w:r>
            <w:proofErr w:type="spellStart"/>
            <w:r w:rsidRPr="009030BB">
              <w:rPr>
                <w:b/>
                <w:bCs/>
                <w:sz w:val="18"/>
                <w:szCs w:val="18"/>
              </w:rPr>
              <w:t>p.r.</w:t>
            </w:r>
            <w:proofErr w:type="spellEnd"/>
            <w:r w:rsidRPr="009030BB">
              <w:rPr>
                <w:b/>
                <w:bCs/>
                <w:sz w:val="18"/>
                <w:szCs w:val="18"/>
              </w:rPr>
              <w:t>). Układ nie przewiduje podziału wierzycieli na grupy. Przyjęto następujące kryterium wyodrębnienia: „wierzytelności osobiste powstałe przed dniem układowym z tytułu udzielenia pożyczki”.</w:t>
            </w:r>
          </w:p>
        </w:tc>
      </w:tr>
      <w:tr w:rsidR="00E456AB" w14:paraId="71452F19" w14:textId="77777777" w:rsidTr="00454C08">
        <w:trPr>
          <w:trHeight w:val="2391"/>
        </w:trPr>
        <w:tc>
          <w:tcPr>
            <w:tcW w:w="9327" w:type="dxa"/>
            <w:gridSpan w:val="7"/>
          </w:tcPr>
          <w:p w14:paraId="41A8373E" w14:textId="77777777" w:rsidR="003F71E1" w:rsidRPr="003F71E1" w:rsidRDefault="003F71E1" w:rsidP="00D977C5">
            <w:pPr>
              <w:jc w:val="both"/>
              <w:rPr>
                <w:sz w:val="18"/>
                <w:szCs w:val="18"/>
              </w:rPr>
            </w:pPr>
          </w:p>
          <w:p w14:paraId="6D5C29DA" w14:textId="77777777" w:rsidR="003F71E1" w:rsidRPr="003F71E1" w:rsidRDefault="003F71E1" w:rsidP="00D977C5">
            <w:pPr>
              <w:numPr>
                <w:ilvl w:val="0"/>
                <w:numId w:val="14"/>
              </w:numPr>
              <w:jc w:val="both"/>
              <w:rPr>
                <w:b/>
                <w:bCs/>
                <w:sz w:val="18"/>
                <w:szCs w:val="18"/>
              </w:rPr>
            </w:pPr>
            <w:r w:rsidRPr="003F71E1">
              <w:rPr>
                <w:b/>
                <w:bCs/>
                <w:sz w:val="18"/>
                <w:szCs w:val="18"/>
              </w:rPr>
              <w:t xml:space="preserve">POSTANOWIENIA WSTĘPNE </w:t>
            </w:r>
          </w:p>
          <w:p w14:paraId="03BE725B" w14:textId="77777777" w:rsidR="003F71E1" w:rsidRPr="003F71E1" w:rsidRDefault="003F71E1" w:rsidP="00D977C5">
            <w:pPr>
              <w:jc w:val="both"/>
              <w:rPr>
                <w:sz w:val="18"/>
                <w:szCs w:val="18"/>
              </w:rPr>
            </w:pPr>
          </w:p>
          <w:p w14:paraId="3C35BEBD" w14:textId="77777777" w:rsidR="003F71E1" w:rsidRPr="003F71E1" w:rsidRDefault="003F71E1" w:rsidP="00D977C5">
            <w:pPr>
              <w:numPr>
                <w:ilvl w:val="0"/>
                <w:numId w:val="15"/>
              </w:numPr>
              <w:jc w:val="both"/>
              <w:rPr>
                <w:sz w:val="18"/>
                <w:szCs w:val="18"/>
              </w:rPr>
            </w:pPr>
            <w:r w:rsidRPr="003F71E1">
              <w:rPr>
                <w:sz w:val="18"/>
                <w:szCs w:val="18"/>
              </w:rPr>
              <w:t xml:space="preserve">Pojęcia użyte w niniejszych propozycjach układowych przyjmują poniższe znaczenie: </w:t>
            </w:r>
          </w:p>
          <w:p w14:paraId="74E31C8B" w14:textId="77777777" w:rsidR="003F71E1" w:rsidRPr="003F71E1" w:rsidRDefault="003F71E1" w:rsidP="00D977C5">
            <w:pPr>
              <w:numPr>
                <w:ilvl w:val="0"/>
                <w:numId w:val="16"/>
              </w:numPr>
              <w:ind w:left="714" w:hanging="357"/>
              <w:jc w:val="both"/>
              <w:rPr>
                <w:sz w:val="18"/>
                <w:szCs w:val="18"/>
              </w:rPr>
            </w:pPr>
            <w:r w:rsidRPr="003F71E1">
              <w:rPr>
                <w:b/>
                <w:bCs/>
                <w:sz w:val="18"/>
                <w:szCs w:val="18"/>
              </w:rPr>
              <w:t xml:space="preserve">Prawo restrukturyzacyjne, </w:t>
            </w:r>
            <w:proofErr w:type="spellStart"/>
            <w:r w:rsidRPr="003F71E1">
              <w:rPr>
                <w:b/>
                <w:bCs/>
                <w:sz w:val="18"/>
                <w:szCs w:val="18"/>
              </w:rPr>
              <w:t>p.r.</w:t>
            </w:r>
            <w:proofErr w:type="spellEnd"/>
            <w:r w:rsidRPr="003F71E1">
              <w:rPr>
                <w:sz w:val="18"/>
                <w:szCs w:val="18"/>
              </w:rPr>
              <w:t xml:space="preserve"> – oznacza ustawę z dnia 15 maja 2015 r. - Prawo restrukturyzacyjne (</w:t>
            </w:r>
            <w:proofErr w:type="spellStart"/>
            <w:r w:rsidRPr="003F71E1">
              <w:rPr>
                <w:sz w:val="18"/>
                <w:szCs w:val="18"/>
              </w:rPr>
              <w:t>t.j</w:t>
            </w:r>
            <w:proofErr w:type="spellEnd"/>
            <w:r w:rsidRPr="003F71E1">
              <w:rPr>
                <w:sz w:val="18"/>
                <w:szCs w:val="18"/>
              </w:rPr>
              <w:t>. Dz.U. z 2021 r. poz. 1588 ze zm.),</w:t>
            </w:r>
          </w:p>
          <w:p w14:paraId="51F5DAAF" w14:textId="77777777" w:rsidR="002A1C8D" w:rsidRPr="003F71E1" w:rsidRDefault="002A1C8D" w:rsidP="002A1C8D">
            <w:pPr>
              <w:numPr>
                <w:ilvl w:val="0"/>
                <w:numId w:val="16"/>
              </w:numPr>
              <w:jc w:val="both"/>
              <w:rPr>
                <w:sz w:val="18"/>
                <w:szCs w:val="18"/>
              </w:rPr>
            </w:pPr>
            <w:r w:rsidRPr="003F71E1">
              <w:rPr>
                <w:b/>
                <w:bCs/>
                <w:sz w:val="18"/>
                <w:szCs w:val="18"/>
              </w:rPr>
              <w:t xml:space="preserve">Postępowanie o zatwierdzenie układu, Postępowanie restrukturyzacyjne </w:t>
            </w:r>
            <w:r w:rsidRPr="003F71E1">
              <w:rPr>
                <w:sz w:val="18"/>
                <w:szCs w:val="18"/>
              </w:rPr>
              <w:t xml:space="preserve">– oznacza postępowanie restrukturyzacyjne prowadzone zgodnie z przepisami Prawa restrukturyzacyjnego,  </w:t>
            </w:r>
          </w:p>
          <w:p w14:paraId="5A3BA818" w14:textId="77777777" w:rsidR="00D977C5" w:rsidRDefault="003F71E1" w:rsidP="002A1C8D">
            <w:pPr>
              <w:numPr>
                <w:ilvl w:val="0"/>
                <w:numId w:val="16"/>
              </w:numPr>
              <w:jc w:val="both"/>
              <w:rPr>
                <w:sz w:val="18"/>
                <w:szCs w:val="18"/>
              </w:rPr>
            </w:pPr>
            <w:r w:rsidRPr="003F71E1">
              <w:rPr>
                <w:b/>
                <w:bCs/>
                <w:sz w:val="18"/>
                <w:szCs w:val="18"/>
              </w:rPr>
              <w:t>Dłużnik, Spółka</w:t>
            </w:r>
            <w:r w:rsidRPr="003F71E1">
              <w:rPr>
                <w:sz w:val="18"/>
                <w:szCs w:val="18"/>
              </w:rPr>
              <w:t xml:space="preserve"> – oznacza GGH Management 10 spółkę z ograniczoną odpowiedzialnością z siedzibą w Warszawie, przy  Alejach Jerozolimskich 94, kod pocztowy: 00-807, wpisaną do rejestru przedsiębiorców Krajowego Rejestru Sądowego, prowadzonego przez Sąd Rejonowy dla m. st. Warszawy w Warszawie, XII Wydział Gospodarczy Krajowego Rejestru Sądowego, pod numerem KRS 654184, REGON 366160540 oraz NIP 5223080205,</w:t>
            </w:r>
          </w:p>
          <w:p w14:paraId="627C3FC8" w14:textId="5F946035" w:rsidR="00D977C5" w:rsidRPr="00D977C5" w:rsidRDefault="00D977C5" w:rsidP="002A1C8D">
            <w:pPr>
              <w:numPr>
                <w:ilvl w:val="0"/>
                <w:numId w:val="16"/>
              </w:numPr>
              <w:jc w:val="both"/>
              <w:rPr>
                <w:sz w:val="18"/>
                <w:szCs w:val="18"/>
              </w:rPr>
            </w:pPr>
            <w:r w:rsidRPr="00D977C5">
              <w:rPr>
                <w:b/>
                <w:bCs/>
                <w:sz w:val="18"/>
                <w:szCs w:val="18"/>
              </w:rPr>
              <w:t>Hipoteka</w:t>
            </w:r>
            <w:r w:rsidRPr="00D977C5">
              <w:rPr>
                <w:sz w:val="18"/>
                <w:szCs w:val="18"/>
              </w:rPr>
              <w:t xml:space="preserve"> - hipoteka umowna łączna ustanowiona na Nieruchomości 1 i Nieruchomości 2, na rzecz Iwony Niewęgłowskiej, działającej jako administrator hipoteki, do kwoty 18.000.000,00 zł, która zabezpiecza wierzytelności wynikające z emisji obligacji serii G,</w:t>
            </w:r>
          </w:p>
          <w:p w14:paraId="5F51F3F9" w14:textId="77777777" w:rsidR="003F71E1" w:rsidRPr="003F71E1" w:rsidRDefault="003F71E1" w:rsidP="002A1C8D">
            <w:pPr>
              <w:numPr>
                <w:ilvl w:val="0"/>
                <w:numId w:val="16"/>
              </w:numPr>
              <w:jc w:val="both"/>
              <w:rPr>
                <w:sz w:val="18"/>
                <w:szCs w:val="18"/>
              </w:rPr>
            </w:pPr>
            <w:r w:rsidRPr="003F71E1">
              <w:rPr>
                <w:b/>
                <w:bCs/>
                <w:sz w:val="18"/>
                <w:szCs w:val="18"/>
              </w:rPr>
              <w:t>Kryterium wyodrębnienia</w:t>
            </w:r>
            <w:r w:rsidRPr="003F71E1">
              <w:rPr>
                <w:sz w:val="18"/>
                <w:szCs w:val="18"/>
              </w:rPr>
              <w:t xml:space="preserve"> – oznacza kryterium, o którym mowa w art. 180 ust. 2 </w:t>
            </w:r>
            <w:proofErr w:type="spellStart"/>
            <w:r w:rsidRPr="003F71E1">
              <w:rPr>
                <w:sz w:val="18"/>
                <w:szCs w:val="18"/>
              </w:rPr>
              <w:t>p.r.</w:t>
            </w:r>
            <w:proofErr w:type="spellEnd"/>
            <w:r w:rsidRPr="003F71E1">
              <w:rPr>
                <w:sz w:val="18"/>
                <w:szCs w:val="18"/>
              </w:rPr>
              <w:t>,</w:t>
            </w:r>
          </w:p>
          <w:p w14:paraId="66097231" w14:textId="77777777" w:rsidR="003F71E1" w:rsidRPr="003F71E1" w:rsidRDefault="003F71E1" w:rsidP="002A1C8D">
            <w:pPr>
              <w:numPr>
                <w:ilvl w:val="0"/>
                <w:numId w:val="16"/>
              </w:numPr>
              <w:jc w:val="both"/>
              <w:rPr>
                <w:sz w:val="18"/>
                <w:szCs w:val="18"/>
              </w:rPr>
            </w:pPr>
            <w:r w:rsidRPr="003F71E1">
              <w:rPr>
                <w:b/>
                <w:bCs/>
                <w:sz w:val="18"/>
                <w:szCs w:val="18"/>
              </w:rPr>
              <w:t>Nieruchomość 1</w:t>
            </w:r>
            <w:r w:rsidRPr="003F71E1">
              <w:rPr>
                <w:sz w:val="18"/>
                <w:szCs w:val="18"/>
              </w:rPr>
              <w:t xml:space="preserve"> – oznacza nieruchomość gruntową niezabudowaną, położoną w Warszawie przy ulicy Postępu 1A, oznaczoną jako działka ewidencyjna 14/2 w obrębie 1-08-12, Dzielnicy Mokotów  m. st. Warszawy, o obszarze 0,6599 ha, dla której Sąd Rejonowy dla Warszawy-Mokotowa w Warszawie, VII Wydział Ksiąg Wieczystych prowadzi księgę wieczystą o numerze WA2M/00505131/8,</w:t>
            </w:r>
          </w:p>
          <w:p w14:paraId="136EC0BB" w14:textId="77777777" w:rsidR="003F71E1" w:rsidRPr="003F71E1" w:rsidRDefault="003F71E1" w:rsidP="002A1C8D">
            <w:pPr>
              <w:numPr>
                <w:ilvl w:val="0"/>
                <w:numId w:val="16"/>
              </w:numPr>
              <w:jc w:val="both"/>
              <w:rPr>
                <w:sz w:val="18"/>
                <w:szCs w:val="18"/>
              </w:rPr>
            </w:pPr>
            <w:r w:rsidRPr="003F71E1">
              <w:rPr>
                <w:b/>
                <w:bCs/>
                <w:sz w:val="18"/>
                <w:szCs w:val="18"/>
              </w:rPr>
              <w:t xml:space="preserve">Nieruchomość 2 </w:t>
            </w:r>
            <w:r w:rsidRPr="003F71E1">
              <w:rPr>
                <w:sz w:val="18"/>
                <w:szCs w:val="18"/>
              </w:rPr>
              <w:t>– oznacza nieruchomość gruntową niezabudowaną, położoną w Warszawie przy ulicy Postępu 1B, oznaczoną jako działka ewidencyjna 14/1 w obrębie 1-08-12, Dzielnicy Mokotów m. st. Warszawy, o obszarze 0,4954 ha, dla której Sąd Rejonowy dla Warszawy-Mokotowa w Warszawie, VII Wydział Ksiąg Wieczystych prowadzi księgę wieczystą o numerze WA2M/00143488/9,</w:t>
            </w:r>
          </w:p>
          <w:p w14:paraId="1AE4943C" w14:textId="35DC25BF" w:rsidR="003F71E1" w:rsidRPr="003F71E1" w:rsidRDefault="003F71E1" w:rsidP="002A1C8D">
            <w:pPr>
              <w:numPr>
                <w:ilvl w:val="0"/>
                <w:numId w:val="16"/>
              </w:numPr>
              <w:jc w:val="both"/>
              <w:rPr>
                <w:sz w:val="18"/>
                <w:szCs w:val="18"/>
              </w:rPr>
            </w:pPr>
            <w:r w:rsidRPr="003F71E1">
              <w:rPr>
                <w:b/>
                <w:bCs/>
                <w:sz w:val="18"/>
                <w:szCs w:val="18"/>
              </w:rPr>
              <w:t>Nieruchomości Postępu</w:t>
            </w:r>
            <w:r w:rsidRPr="003F71E1">
              <w:rPr>
                <w:sz w:val="18"/>
                <w:szCs w:val="18"/>
              </w:rPr>
              <w:t xml:space="preserve"> - oznacza łącznie Nieruchomość 1 i Nieruchomość 2</w:t>
            </w:r>
            <w:r w:rsidR="007C0EAA">
              <w:rPr>
                <w:sz w:val="18"/>
                <w:szCs w:val="18"/>
              </w:rPr>
              <w:t>,</w:t>
            </w:r>
          </w:p>
          <w:p w14:paraId="79A97A2B" w14:textId="77777777" w:rsidR="003F71E1" w:rsidRPr="003F71E1" w:rsidRDefault="003F71E1" w:rsidP="002A1C8D">
            <w:pPr>
              <w:numPr>
                <w:ilvl w:val="0"/>
                <w:numId w:val="16"/>
              </w:numPr>
              <w:jc w:val="both"/>
              <w:rPr>
                <w:sz w:val="18"/>
                <w:szCs w:val="18"/>
              </w:rPr>
            </w:pPr>
            <w:r w:rsidRPr="003F71E1">
              <w:rPr>
                <w:b/>
                <w:bCs/>
                <w:sz w:val="18"/>
                <w:szCs w:val="18"/>
              </w:rPr>
              <w:t>Oferent lub Oferenci</w:t>
            </w:r>
            <w:r w:rsidRPr="003F71E1">
              <w:rPr>
                <w:sz w:val="18"/>
                <w:szCs w:val="18"/>
              </w:rPr>
              <w:t xml:space="preserve"> – oznacza podmiot lub podmioty, od których Dłużnik w trakcie Postępowania restrukturyzacyjnego, otrzymał pisemną ofertę nabycia Nieruchomości i Użytkowania wieczystego,</w:t>
            </w:r>
          </w:p>
          <w:p w14:paraId="75C0CB3D" w14:textId="77777777" w:rsidR="003F71E1" w:rsidRPr="003F71E1" w:rsidRDefault="003F71E1" w:rsidP="002A1C8D">
            <w:pPr>
              <w:numPr>
                <w:ilvl w:val="0"/>
                <w:numId w:val="16"/>
              </w:numPr>
              <w:jc w:val="both"/>
              <w:rPr>
                <w:sz w:val="18"/>
                <w:szCs w:val="18"/>
              </w:rPr>
            </w:pPr>
            <w:r w:rsidRPr="003F71E1">
              <w:rPr>
                <w:b/>
                <w:bCs/>
                <w:sz w:val="18"/>
                <w:szCs w:val="18"/>
              </w:rPr>
              <w:t>Przetarg</w:t>
            </w:r>
            <w:r w:rsidRPr="003F71E1">
              <w:rPr>
                <w:sz w:val="18"/>
                <w:szCs w:val="18"/>
              </w:rPr>
              <w:t xml:space="preserve"> – oznacza konkurs ofert zorganizowany przez Dłużnika pod nadzorem Nadzorcy wykonania układu w rozumieniu art. 171 ust. 1 </w:t>
            </w:r>
            <w:proofErr w:type="spellStart"/>
            <w:r w:rsidRPr="003F71E1">
              <w:rPr>
                <w:sz w:val="18"/>
                <w:szCs w:val="18"/>
              </w:rPr>
              <w:t>p.r.</w:t>
            </w:r>
            <w:proofErr w:type="spellEnd"/>
            <w:r w:rsidRPr="003F71E1">
              <w:rPr>
                <w:sz w:val="18"/>
                <w:szCs w:val="18"/>
              </w:rPr>
              <w:t xml:space="preserve"> w celu wyboru nabywcy Nieruchomości Postępu i Użytkowania wieczystego, który zaproponuje warunki sprzedaży umożliwiające wykonanie Układu,</w:t>
            </w:r>
          </w:p>
          <w:p w14:paraId="0041DAAD" w14:textId="77777777" w:rsidR="003F71E1" w:rsidRPr="003F71E1" w:rsidRDefault="003F71E1" w:rsidP="002A1C8D">
            <w:pPr>
              <w:numPr>
                <w:ilvl w:val="0"/>
                <w:numId w:val="16"/>
              </w:numPr>
              <w:jc w:val="both"/>
              <w:rPr>
                <w:sz w:val="18"/>
                <w:szCs w:val="18"/>
              </w:rPr>
            </w:pPr>
            <w:r w:rsidRPr="003F71E1">
              <w:rPr>
                <w:b/>
                <w:bCs/>
                <w:sz w:val="18"/>
                <w:szCs w:val="18"/>
              </w:rPr>
              <w:t>Regulamin Przetargu</w:t>
            </w:r>
            <w:r w:rsidRPr="003F71E1">
              <w:rPr>
                <w:sz w:val="18"/>
                <w:szCs w:val="18"/>
              </w:rPr>
              <w:t xml:space="preserve"> – regulamin, przygotowany przez Dłużnika pod nadzorem Nadzorcy wykonania układu, określający zasady przeprowadzenia Przetargu,</w:t>
            </w:r>
          </w:p>
          <w:p w14:paraId="0343887E" w14:textId="77777777" w:rsidR="00D977C5" w:rsidRPr="003F71E1" w:rsidRDefault="00D977C5" w:rsidP="002A1C8D">
            <w:pPr>
              <w:numPr>
                <w:ilvl w:val="0"/>
                <w:numId w:val="16"/>
              </w:numPr>
              <w:jc w:val="both"/>
              <w:rPr>
                <w:sz w:val="18"/>
                <w:szCs w:val="18"/>
              </w:rPr>
            </w:pPr>
            <w:r w:rsidRPr="003F71E1">
              <w:rPr>
                <w:b/>
                <w:bCs/>
                <w:sz w:val="18"/>
                <w:szCs w:val="18"/>
              </w:rPr>
              <w:t>Układ</w:t>
            </w:r>
            <w:r w:rsidRPr="003F71E1">
              <w:rPr>
                <w:sz w:val="18"/>
                <w:szCs w:val="18"/>
              </w:rPr>
              <w:t xml:space="preserve"> – oznacza układ częściowy w rozumieniu art. 180 ust. 1 </w:t>
            </w:r>
            <w:proofErr w:type="spellStart"/>
            <w:r w:rsidRPr="003F71E1">
              <w:rPr>
                <w:sz w:val="18"/>
                <w:szCs w:val="18"/>
              </w:rPr>
              <w:t>p.r.</w:t>
            </w:r>
            <w:proofErr w:type="spellEnd"/>
            <w:r w:rsidRPr="003F71E1">
              <w:rPr>
                <w:sz w:val="18"/>
                <w:szCs w:val="18"/>
              </w:rPr>
              <w:t xml:space="preserve">, zawarty przez Dłużnika, </w:t>
            </w:r>
          </w:p>
          <w:p w14:paraId="796EC788" w14:textId="0D7482AD" w:rsidR="003F71E1" w:rsidRPr="003F71E1" w:rsidRDefault="003F71E1" w:rsidP="002A1C8D">
            <w:pPr>
              <w:numPr>
                <w:ilvl w:val="0"/>
                <w:numId w:val="16"/>
              </w:numPr>
              <w:jc w:val="both"/>
              <w:rPr>
                <w:sz w:val="18"/>
                <w:szCs w:val="18"/>
              </w:rPr>
            </w:pPr>
            <w:r w:rsidRPr="003F71E1">
              <w:rPr>
                <w:b/>
                <w:bCs/>
                <w:sz w:val="18"/>
                <w:szCs w:val="18"/>
              </w:rPr>
              <w:t>Użytkowanie wieczyste</w:t>
            </w:r>
            <w:r w:rsidRPr="003F71E1">
              <w:rPr>
                <w:sz w:val="18"/>
                <w:szCs w:val="18"/>
              </w:rPr>
              <w:t xml:space="preserve"> – oznacza prawo użytkowania wieczystego przysługującego Dłużnikowi w stosunku do nieruchomości gruntowej niezabudowanej, położonej w Warszawie przy ulicy Postępu, oznaczonej jako działka ewidencyjna 20/8 w obrębie 1-08-12, Dzielnicy Mokotów  m. st. Warszawy, o obszarze 0,0027 ha, dla której Sąd Rejonowy dla Warszawy-Mokotowa w Warszawie, VII Wydział Ksiąg Wieczystych prowadzi księgę wieczystą o numerze WA2M/00195646/4</w:t>
            </w:r>
            <w:r w:rsidR="007C0EAA">
              <w:rPr>
                <w:sz w:val="18"/>
                <w:szCs w:val="18"/>
              </w:rPr>
              <w:t>,</w:t>
            </w:r>
          </w:p>
          <w:p w14:paraId="29E99E73" w14:textId="77777777" w:rsidR="003F71E1" w:rsidRPr="003F71E1" w:rsidRDefault="003F71E1" w:rsidP="002A1C8D">
            <w:pPr>
              <w:numPr>
                <w:ilvl w:val="0"/>
                <w:numId w:val="16"/>
              </w:numPr>
              <w:jc w:val="both"/>
              <w:rPr>
                <w:sz w:val="18"/>
                <w:szCs w:val="18"/>
              </w:rPr>
            </w:pPr>
            <w:r w:rsidRPr="003F71E1">
              <w:rPr>
                <w:b/>
                <w:bCs/>
                <w:sz w:val="18"/>
                <w:szCs w:val="18"/>
              </w:rPr>
              <w:t xml:space="preserve">Wierzyciele </w:t>
            </w:r>
            <w:r w:rsidRPr="003F71E1">
              <w:rPr>
                <w:sz w:val="18"/>
                <w:szCs w:val="18"/>
              </w:rPr>
              <w:t>– wierzyciele, których wierzytelności powstały przed Dniem Układowym, tj. przed 20 października 2022 r., objęci Układem częściowym,</w:t>
            </w:r>
          </w:p>
          <w:p w14:paraId="0270752D" w14:textId="77777777" w:rsidR="003F71E1" w:rsidRPr="003F71E1" w:rsidRDefault="003F71E1" w:rsidP="002A1C8D">
            <w:pPr>
              <w:numPr>
                <w:ilvl w:val="0"/>
                <w:numId w:val="16"/>
              </w:numPr>
              <w:jc w:val="both"/>
              <w:rPr>
                <w:sz w:val="18"/>
                <w:szCs w:val="18"/>
              </w:rPr>
            </w:pPr>
            <w:r w:rsidRPr="003F71E1">
              <w:rPr>
                <w:b/>
                <w:bCs/>
                <w:sz w:val="18"/>
                <w:szCs w:val="18"/>
              </w:rPr>
              <w:t xml:space="preserve">Wycena </w:t>
            </w:r>
            <w:r w:rsidRPr="003F71E1">
              <w:rPr>
                <w:sz w:val="18"/>
                <w:szCs w:val="18"/>
              </w:rPr>
              <w:t>– oznacza  operat szacunkowy z dnia 29 grudnia 2022 r. sporządzony przez dr inż. Alicję Malczewską, Rzeczoznawcę majątkowego (uprawnienia nr 2636), w którym wartość rynkową Nieruchomości Postępu i Użytkowania wieczystego określono na kwotę 41 750 000 złotych netto,</w:t>
            </w:r>
          </w:p>
          <w:p w14:paraId="2F4BF932" w14:textId="77777777" w:rsidR="003F71E1" w:rsidRPr="003F71E1" w:rsidRDefault="003F71E1" w:rsidP="002A1C8D">
            <w:pPr>
              <w:numPr>
                <w:ilvl w:val="0"/>
                <w:numId w:val="16"/>
              </w:numPr>
              <w:jc w:val="both"/>
              <w:rPr>
                <w:sz w:val="18"/>
                <w:szCs w:val="18"/>
              </w:rPr>
            </w:pPr>
            <w:r w:rsidRPr="003F71E1">
              <w:rPr>
                <w:b/>
                <w:bCs/>
                <w:sz w:val="18"/>
                <w:szCs w:val="18"/>
              </w:rPr>
              <w:t>Wartość oszacowania</w:t>
            </w:r>
            <w:r w:rsidRPr="003F71E1">
              <w:rPr>
                <w:sz w:val="18"/>
                <w:szCs w:val="18"/>
              </w:rPr>
              <w:t xml:space="preserve"> - wartość rynkowa Nieruchomości Postępu i Użytkowania wieczystego wynikająca z Wyceny.</w:t>
            </w:r>
          </w:p>
          <w:p w14:paraId="10A3AF56" w14:textId="77777777" w:rsidR="003F71E1" w:rsidRPr="003F71E1" w:rsidRDefault="003F71E1" w:rsidP="00D977C5">
            <w:pPr>
              <w:numPr>
                <w:ilvl w:val="0"/>
                <w:numId w:val="15"/>
              </w:numPr>
              <w:jc w:val="both"/>
              <w:rPr>
                <w:sz w:val="18"/>
                <w:szCs w:val="18"/>
              </w:rPr>
            </w:pPr>
            <w:r w:rsidRPr="003F71E1">
              <w:rPr>
                <w:sz w:val="18"/>
                <w:szCs w:val="18"/>
              </w:rPr>
              <w:t>Dzień układowy został wyznaczony na 20 października 2022 r. (dalej: „</w:t>
            </w:r>
            <w:r w:rsidRPr="003F71E1">
              <w:rPr>
                <w:b/>
                <w:bCs/>
                <w:sz w:val="18"/>
                <w:szCs w:val="18"/>
              </w:rPr>
              <w:t>Dzień Układowy</w:t>
            </w:r>
            <w:r w:rsidRPr="003F71E1">
              <w:rPr>
                <w:sz w:val="18"/>
                <w:szCs w:val="18"/>
              </w:rPr>
              <w:t xml:space="preserve">”). </w:t>
            </w:r>
          </w:p>
          <w:p w14:paraId="728A3B40" w14:textId="77777777" w:rsidR="003F71E1" w:rsidRPr="003F71E1" w:rsidRDefault="003F71E1" w:rsidP="00D977C5">
            <w:pPr>
              <w:numPr>
                <w:ilvl w:val="0"/>
                <w:numId w:val="15"/>
              </w:numPr>
              <w:jc w:val="both"/>
              <w:rPr>
                <w:sz w:val="18"/>
                <w:szCs w:val="18"/>
              </w:rPr>
            </w:pPr>
            <w:r w:rsidRPr="003F71E1">
              <w:rPr>
                <w:sz w:val="18"/>
                <w:szCs w:val="18"/>
              </w:rPr>
              <w:t xml:space="preserve">Niniejszy układ jest układem likwidacyjnym w rozumieniu art. 159 </w:t>
            </w:r>
            <w:proofErr w:type="spellStart"/>
            <w:r w:rsidRPr="003F71E1">
              <w:rPr>
                <w:sz w:val="18"/>
                <w:szCs w:val="18"/>
              </w:rPr>
              <w:t>p.r.</w:t>
            </w:r>
            <w:proofErr w:type="spellEnd"/>
            <w:r w:rsidRPr="003F71E1">
              <w:rPr>
                <w:sz w:val="18"/>
                <w:szCs w:val="18"/>
              </w:rPr>
              <w:t xml:space="preserve"> przewidującym likwidację Nieruchomości Postępu i Użytkowania wieczystego - na warunkach wynikających z Układu (dalej: „</w:t>
            </w:r>
            <w:r w:rsidRPr="003F71E1">
              <w:rPr>
                <w:b/>
                <w:bCs/>
                <w:sz w:val="18"/>
                <w:szCs w:val="18"/>
              </w:rPr>
              <w:t>Układ</w:t>
            </w:r>
            <w:r w:rsidRPr="003F71E1">
              <w:rPr>
                <w:sz w:val="18"/>
                <w:szCs w:val="18"/>
              </w:rPr>
              <w:t xml:space="preserve">”). </w:t>
            </w:r>
          </w:p>
          <w:p w14:paraId="3C0FEB41" w14:textId="77777777" w:rsidR="003F71E1" w:rsidRPr="003F71E1" w:rsidRDefault="003F71E1" w:rsidP="00D977C5">
            <w:pPr>
              <w:numPr>
                <w:ilvl w:val="0"/>
                <w:numId w:val="15"/>
              </w:numPr>
              <w:jc w:val="both"/>
              <w:rPr>
                <w:sz w:val="18"/>
                <w:szCs w:val="18"/>
              </w:rPr>
            </w:pPr>
            <w:r w:rsidRPr="003F71E1">
              <w:rPr>
                <w:sz w:val="18"/>
                <w:szCs w:val="18"/>
              </w:rPr>
              <w:lastRenderedPageBreak/>
              <w:t xml:space="preserve">Propozycje układowe dotyczą jedynie niektórych zobowiązań Spółki, których restrukturyzacja ma zasadniczy wpływ na dalsze funkcjonowanie przedsiębiorstwa Spółki (układ częściowy - art. 180 i nast. </w:t>
            </w:r>
            <w:proofErr w:type="spellStart"/>
            <w:r w:rsidRPr="003F71E1">
              <w:rPr>
                <w:sz w:val="18"/>
                <w:szCs w:val="18"/>
              </w:rPr>
              <w:t>p.r.</w:t>
            </w:r>
            <w:proofErr w:type="spellEnd"/>
            <w:r w:rsidRPr="003F71E1">
              <w:rPr>
                <w:sz w:val="18"/>
                <w:szCs w:val="18"/>
              </w:rPr>
              <w:t xml:space="preserve">), a jednocześnie nie dotyczą wierzycieli, których wierzytelności wynikają z tytułu emisji obligacji (art. 362 ust. 3 </w:t>
            </w:r>
            <w:proofErr w:type="spellStart"/>
            <w:r w:rsidRPr="003F71E1">
              <w:rPr>
                <w:sz w:val="18"/>
                <w:szCs w:val="18"/>
              </w:rPr>
              <w:t>p.r.</w:t>
            </w:r>
            <w:proofErr w:type="spellEnd"/>
            <w:r w:rsidRPr="003F71E1">
              <w:rPr>
                <w:sz w:val="18"/>
                <w:szCs w:val="18"/>
              </w:rPr>
              <w:t>).</w:t>
            </w:r>
          </w:p>
          <w:p w14:paraId="49C0F0C2" w14:textId="77777777" w:rsidR="003F71E1" w:rsidRPr="003F71E1" w:rsidRDefault="003F71E1" w:rsidP="00D977C5">
            <w:pPr>
              <w:jc w:val="both"/>
              <w:rPr>
                <w:sz w:val="18"/>
                <w:szCs w:val="18"/>
              </w:rPr>
            </w:pPr>
          </w:p>
          <w:p w14:paraId="09E11BA5" w14:textId="77777777" w:rsidR="003F71E1" w:rsidRPr="003F71E1" w:rsidRDefault="003F71E1" w:rsidP="00D977C5">
            <w:pPr>
              <w:numPr>
                <w:ilvl w:val="0"/>
                <w:numId w:val="14"/>
              </w:numPr>
              <w:jc w:val="both"/>
              <w:rPr>
                <w:b/>
                <w:bCs/>
                <w:sz w:val="18"/>
                <w:szCs w:val="18"/>
              </w:rPr>
            </w:pPr>
            <w:r w:rsidRPr="003F71E1">
              <w:rPr>
                <w:b/>
                <w:bCs/>
                <w:sz w:val="18"/>
                <w:szCs w:val="18"/>
              </w:rPr>
              <w:t>KRYTERIUM WYODRĘBNIENIA WIERZYCIELI OBJĘTYCH UKŁADEM CZĘŚCIOWYM</w:t>
            </w:r>
          </w:p>
          <w:p w14:paraId="1BEE4244" w14:textId="77777777" w:rsidR="003F71E1" w:rsidRPr="003F71E1" w:rsidRDefault="003F71E1" w:rsidP="00D977C5">
            <w:pPr>
              <w:jc w:val="both"/>
              <w:rPr>
                <w:sz w:val="18"/>
                <w:szCs w:val="18"/>
              </w:rPr>
            </w:pPr>
          </w:p>
          <w:p w14:paraId="1E70DC75" w14:textId="77777777" w:rsidR="003F71E1" w:rsidRPr="003F71E1" w:rsidRDefault="003F71E1" w:rsidP="00D977C5">
            <w:pPr>
              <w:numPr>
                <w:ilvl w:val="0"/>
                <w:numId w:val="17"/>
              </w:numPr>
              <w:jc w:val="both"/>
              <w:rPr>
                <w:sz w:val="18"/>
                <w:szCs w:val="18"/>
              </w:rPr>
            </w:pPr>
            <w:r w:rsidRPr="003F71E1">
              <w:rPr>
                <w:sz w:val="18"/>
                <w:szCs w:val="18"/>
              </w:rPr>
              <w:t>Układ obejmuje wierzycieli, którzy spełniają następujące kryteria wyodrębnienia:</w:t>
            </w:r>
          </w:p>
          <w:p w14:paraId="6AC63F5B" w14:textId="77777777" w:rsidR="003F71E1" w:rsidRPr="003F71E1" w:rsidRDefault="003F71E1" w:rsidP="00D977C5">
            <w:pPr>
              <w:ind w:firstLine="709"/>
              <w:jc w:val="both"/>
              <w:rPr>
                <w:sz w:val="18"/>
                <w:szCs w:val="18"/>
              </w:rPr>
            </w:pPr>
            <w:r w:rsidRPr="003F71E1">
              <w:rPr>
                <w:sz w:val="18"/>
                <w:szCs w:val="18"/>
              </w:rPr>
              <w:t>„wierzytelności osobiste powstałe przed Dniem Układowym z tytułu udzielenia pożyczki”.</w:t>
            </w:r>
          </w:p>
          <w:p w14:paraId="52797181" w14:textId="77777777" w:rsidR="003F71E1" w:rsidRPr="003F71E1" w:rsidRDefault="003F71E1" w:rsidP="00D977C5">
            <w:pPr>
              <w:numPr>
                <w:ilvl w:val="0"/>
                <w:numId w:val="17"/>
              </w:numPr>
              <w:jc w:val="both"/>
              <w:rPr>
                <w:sz w:val="18"/>
                <w:szCs w:val="18"/>
              </w:rPr>
            </w:pPr>
            <w:r w:rsidRPr="003F71E1">
              <w:rPr>
                <w:sz w:val="18"/>
                <w:szCs w:val="18"/>
              </w:rPr>
              <w:t>Propozycje układowe nie przewidują podziału wierzycieli na grupy interesów.</w:t>
            </w:r>
          </w:p>
          <w:p w14:paraId="18044DFD" w14:textId="77777777" w:rsidR="003F71E1" w:rsidRPr="003F71E1" w:rsidRDefault="003F71E1" w:rsidP="00D977C5">
            <w:pPr>
              <w:jc w:val="both"/>
              <w:rPr>
                <w:sz w:val="18"/>
                <w:szCs w:val="18"/>
              </w:rPr>
            </w:pPr>
          </w:p>
          <w:p w14:paraId="78309A81" w14:textId="77777777" w:rsidR="003F71E1" w:rsidRPr="003F71E1" w:rsidRDefault="003F71E1" w:rsidP="00D977C5">
            <w:pPr>
              <w:numPr>
                <w:ilvl w:val="0"/>
                <w:numId w:val="14"/>
              </w:numPr>
              <w:jc w:val="both"/>
              <w:rPr>
                <w:b/>
                <w:bCs/>
                <w:sz w:val="18"/>
                <w:szCs w:val="18"/>
              </w:rPr>
            </w:pPr>
            <w:r w:rsidRPr="003F71E1">
              <w:rPr>
                <w:b/>
                <w:bCs/>
                <w:sz w:val="18"/>
                <w:szCs w:val="18"/>
              </w:rPr>
              <w:t>LIKWIDACJA MAJĄTKU DŁUŻNIKA</w:t>
            </w:r>
          </w:p>
          <w:p w14:paraId="7BA43E85" w14:textId="77777777" w:rsidR="003F71E1" w:rsidRPr="003F71E1" w:rsidRDefault="003F71E1" w:rsidP="00D977C5">
            <w:pPr>
              <w:jc w:val="both"/>
              <w:rPr>
                <w:sz w:val="18"/>
                <w:szCs w:val="18"/>
              </w:rPr>
            </w:pPr>
          </w:p>
          <w:p w14:paraId="66FF77AA" w14:textId="77777777" w:rsidR="003F71E1" w:rsidRPr="003F71E1" w:rsidRDefault="003F71E1" w:rsidP="00D977C5">
            <w:pPr>
              <w:numPr>
                <w:ilvl w:val="0"/>
                <w:numId w:val="18"/>
              </w:numPr>
              <w:jc w:val="both"/>
              <w:rPr>
                <w:b/>
                <w:bCs/>
                <w:sz w:val="18"/>
                <w:szCs w:val="18"/>
              </w:rPr>
            </w:pPr>
            <w:r w:rsidRPr="003F71E1">
              <w:rPr>
                <w:b/>
                <w:bCs/>
                <w:sz w:val="18"/>
                <w:szCs w:val="18"/>
              </w:rPr>
              <w:t>POSTANOWIENIA OGÓLNE</w:t>
            </w:r>
          </w:p>
          <w:p w14:paraId="719E9EA1" w14:textId="77777777" w:rsidR="003F71E1" w:rsidRPr="003F71E1" w:rsidRDefault="003F71E1" w:rsidP="00D977C5">
            <w:pPr>
              <w:jc w:val="both"/>
              <w:rPr>
                <w:sz w:val="18"/>
                <w:szCs w:val="18"/>
              </w:rPr>
            </w:pPr>
          </w:p>
          <w:p w14:paraId="6D387993" w14:textId="77777777" w:rsidR="003F71E1" w:rsidRPr="003F71E1" w:rsidRDefault="003F71E1" w:rsidP="00D977C5">
            <w:pPr>
              <w:numPr>
                <w:ilvl w:val="1"/>
                <w:numId w:val="18"/>
              </w:numPr>
              <w:jc w:val="both"/>
              <w:rPr>
                <w:sz w:val="18"/>
                <w:szCs w:val="18"/>
              </w:rPr>
            </w:pPr>
            <w:r w:rsidRPr="003F71E1">
              <w:rPr>
                <w:sz w:val="18"/>
                <w:szCs w:val="18"/>
              </w:rPr>
              <w:t>Przedmiotem likwidacji, którą Dłużnik przeprowadzi w wykonaniu Układu, będą należące do majątku Dłużnika Nieruchomości Postępu i Użytkowanie Wieczyste.</w:t>
            </w:r>
          </w:p>
          <w:p w14:paraId="2A9CFC9B" w14:textId="77777777" w:rsidR="003F71E1" w:rsidRPr="003F71E1" w:rsidRDefault="003F71E1" w:rsidP="00D977C5">
            <w:pPr>
              <w:numPr>
                <w:ilvl w:val="1"/>
                <w:numId w:val="18"/>
              </w:numPr>
              <w:jc w:val="both"/>
              <w:rPr>
                <w:sz w:val="18"/>
                <w:szCs w:val="18"/>
              </w:rPr>
            </w:pPr>
            <w:r w:rsidRPr="003F71E1">
              <w:rPr>
                <w:sz w:val="18"/>
                <w:szCs w:val="18"/>
              </w:rPr>
              <w:t>W Postępowaniu restrukturyzacyjnym sporządzona została Wycena.</w:t>
            </w:r>
          </w:p>
          <w:p w14:paraId="6393980E" w14:textId="77777777" w:rsidR="003F71E1" w:rsidRPr="003F71E1" w:rsidRDefault="003F71E1" w:rsidP="00D977C5">
            <w:pPr>
              <w:numPr>
                <w:ilvl w:val="1"/>
                <w:numId w:val="18"/>
              </w:numPr>
              <w:jc w:val="both"/>
              <w:rPr>
                <w:sz w:val="18"/>
                <w:szCs w:val="18"/>
              </w:rPr>
            </w:pPr>
            <w:r w:rsidRPr="003F71E1">
              <w:rPr>
                <w:sz w:val="18"/>
                <w:szCs w:val="18"/>
              </w:rPr>
              <w:t>Likwidacja Nieruchomości Postępu i Użytkowania Wieczystego nastąpi poprzez ich sprzedaż przez Dłużnika na rzecz jednego lub wielu nabywców pozyskanych z rynku przez Dłużnika, na zasadach określonych poniżej.</w:t>
            </w:r>
          </w:p>
          <w:p w14:paraId="303D3172" w14:textId="44940396" w:rsidR="003F71E1" w:rsidRPr="003F71E1" w:rsidRDefault="003F71E1" w:rsidP="00D977C5">
            <w:pPr>
              <w:numPr>
                <w:ilvl w:val="1"/>
                <w:numId w:val="18"/>
              </w:numPr>
              <w:jc w:val="both"/>
              <w:rPr>
                <w:sz w:val="18"/>
                <w:szCs w:val="18"/>
              </w:rPr>
            </w:pPr>
            <w:r w:rsidRPr="003F71E1">
              <w:rPr>
                <w:sz w:val="18"/>
                <w:szCs w:val="18"/>
              </w:rPr>
              <w:t xml:space="preserve">Zapłata ceny sprzedaży lub jej części </w:t>
            </w:r>
            <w:r w:rsidR="00D977C5">
              <w:rPr>
                <w:sz w:val="18"/>
                <w:szCs w:val="18"/>
              </w:rPr>
              <w:t>nastąpi</w:t>
            </w:r>
            <w:r w:rsidRPr="003F71E1">
              <w:rPr>
                <w:sz w:val="18"/>
                <w:szCs w:val="18"/>
              </w:rPr>
              <w:t xml:space="preserve"> na rachunek bankowy Spółki lub do depozytu notarialnego.</w:t>
            </w:r>
          </w:p>
          <w:p w14:paraId="369EAC85" w14:textId="77777777" w:rsidR="003F71E1" w:rsidRPr="003F71E1" w:rsidRDefault="003F71E1" w:rsidP="00D977C5">
            <w:pPr>
              <w:numPr>
                <w:ilvl w:val="1"/>
                <w:numId w:val="18"/>
              </w:numPr>
              <w:jc w:val="both"/>
              <w:rPr>
                <w:sz w:val="18"/>
                <w:szCs w:val="18"/>
              </w:rPr>
            </w:pPr>
            <w:r w:rsidRPr="003F71E1">
              <w:rPr>
                <w:sz w:val="18"/>
                <w:szCs w:val="18"/>
              </w:rPr>
              <w:t>Umowa sprzedaży Nieruchomości Postępu i Użytkowania Wieczystego może zostać zawarta nie wcześniej niż po uprawomocnieniu się postanowienia o zatwierdzeniu Układu.</w:t>
            </w:r>
          </w:p>
          <w:p w14:paraId="004D3673" w14:textId="2F87A6DE" w:rsidR="003F71E1" w:rsidRPr="003F71E1" w:rsidRDefault="003F71E1" w:rsidP="00D977C5">
            <w:pPr>
              <w:numPr>
                <w:ilvl w:val="1"/>
                <w:numId w:val="18"/>
              </w:numPr>
              <w:jc w:val="both"/>
              <w:rPr>
                <w:sz w:val="18"/>
                <w:szCs w:val="18"/>
              </w:rPr>
            </w:pPr>
            <w:r w:rsidRPr="003F71E1">
              <w:rPr>
                <w:sz w:val="18"/>
                <w:szCs w:val="18"/>
              </w:rPr>
              <w:t>Z uwagi na okoliczność, że obrót Użytkowania wieczystego podlega ograniczeni</w:t>
            </w:r>
            <w:r w:rsidR="00FE5629">
              <w:rPr>
                <w:sz w:val="18"/>
                <w:szCs w:val="18"/>
              </w:rPr>
              <w:t>u</w:t>
            </w:r>
            <w:r w:rsidRPr="003F71E1">
              <w:rPr>
                <w:sz w:val="18"/>
                <w:szCs w:val="18"/>
              </w:rPr>
              <w:t xml:space="preserve"> w postaci ustawowego prawa pierwokupu m. st. Warszawy (art. 109 ust. 1 pkt 2 ustawy z dnia 21 sierpnia 1997 r. o gospodarce nieruchomościami), przed zawarciem umowy sprzedaży Użytkowania wieczystego Dłużnik zawrze umowę zobowiązującą do sprzedaży Użytkowania wieczystego pod warunkiem nieskorzystania przez m.st. Warszawę z prawa pierwokupu. </w:t>
            </w:r>
          </w:p>
          <w:p w14:paraId="2D2E7BDF" w14:textId="77777777" w:rsidR="003F71E1" w:rsidRPr="003F71E1" w:rsidRDefault="003F71E1" w:rsidP="00D977C5">
            <w:pPr>
              <w:numPr>
                <w:ilvl w:val="1"/>
                <w:numId w:val="18"/>
              </w:numPr>
              <w:jc w:val="both"/>
              <w:rPr>
                <w:sz w:val="18"/>
                <w:szCs w:val="18"/>
              </w:rPr>
            </w:pPr>
            <w:r w:rsidRPr="003F71E1">
              <w:rPr>
                <w:sz w:val="18"/>
                <w:szCs w:val="18"/>
              </w:rPr>
              <w:t xml:space="preserve">Dłużnik zawrze umowę sprzedaży przenoszącą własność Nieruchomości Postępu i przenoszącą Użytkowanie Wieczyste z wybranym Oferentem na warunkach określonych w pkt III. 2. lub III.3. nie później niż w terminie 12 miesięcy, licząc od dnia doręczenia Dłużnikowi postanowienia stwierdzającego prawomocność postanowienia o zatwierdzeniu Układu. </w:t>
            </w:r>
          </w:p>
          <w:p w14:paraId="6B52E64A" w14:textId="77777777" w:rsidR="003F71E1" w:rsidRPr="003F71E1" w:rsidRDefault="003F71E1" w:rsidP="00D977C5">
            <w:pPr>
              <w:numPr>
                <w:ilvl w:val="1"/>
                <w:numId w:val="18"/>
              </w:numPr>
              <w:jc w:val="both"/>
              <w:rPr>
                <w:sz w:val="18"/>
                <w:szCs w:val="18"/>
              </w:rPr>
            </w:pPr>
            <w:r w:rsidRPr="003F71E1">
              <w:rPr>
                <w:sz w:val="18"/>
                <w:szCs w:val="18"/>
              </w:rPr>
              <w:t>Umowa sprzedaży przenosząca własność Nieruchomości Postępu i zobowiązująca do przeniesienia własności Użytkowania Wieczystego może zostać poprzedzona zawarciem umowy przedwstępnej sprzedaży, pod warunkiem że jej postanowienia nie będą sprzeczne z Układem, z uwzględnieniem pkt III.1.7.</w:t>
            </w:r>
          </w:p>
          <w:p w14:paraId="665989A9" w14:textId="77777777" w:rsidR="003F71E1" w:rsidRPr="003F71E1" w:rsidRDefault="003F71E1" w:rsidP="00D977C5">
            <w:pPr>
              <w:jc w:val="both"/>
              <w:rPr>
                <w:sz w:val="18"/>
                <w:szCs w:val="18"/>
              </w:rPr>
            </w:pPr>
          </w:p>
          <w:p w14:paraId="1402FE13" w14:textId="77777777" w:rsidR="003F71E1" w:rsidRPr="003F71E1" w:rsidRDefault="003F71E1" w:rsidP="00D977C5">
            <w:pPr>
              <w:numPr>
                <w:ilvl w:val="0"/>
                <w:numId w:val="18"/>
              </w:numPr>
              <w:jc w:val="both"/>
              <w:rPr>
                <w:b/>
                <w:bCs/>
                <w:sz w:val="18"/>
                <w:szCs w:val="18"/>
              </w:rPr>
            </w:pPr>
            <w:r w:rsidRPr="003F71E1">
              <w:rPr>
                <w:b/>
                <w:bCs/>
                <w:sz w:val="18"/>
                <w:szCs w:val="18"/>
              </w:rPr>
              <w:t>SPRZEDAŻ NIERUCHOMOŚCI NA RZECZ OFERENTA</w:t>
            </w:r>
          </w:p>
          <w:p w14:paraId="51D9E509" w14:textId="77777777" w:rsidR="003F71E1" w:rsidRPr="003F71E1" w:rsidRDefault="003F71E1" w:rsidP="00D977C5">
            <w:pPr>
              <w:jc w:val="both"/>
              <w:rPr>
                <w:sz w:val="18"/>
                <w:szCs w:val="18"/>
              </w:rPr>
            </w:pPr>
          </w:p>
          <w:p w14:paraId="2F3464B6" w14:textId="77777777" w:rsidR="003F71E1" w:rsidRPr="003F71E1" w:rsidRDefault="003F71E1" w:rsidP="00D977C5">
            <w:pPr>
              <w:numPr>
                <w:ilvl w:val="1"/>
                <w:numId w:val="18"/>
              </w:numPr>
              <w:jc w:val="both"/>
              <w:rPr>
                <w:sz w:val="18"/>
                <w:szCs w:val="18"/>
              </w:rPr>
            </w:pPr>
            <w:r w:rsidRPr="003F71E1">
              <w:rPr>
                <w:sz w:val="18"/>
                <w:szCs w:val="18"/>
              </w:rPr>
              <w:t xml:space="preserve">Dłużnik może sprzedać Nieruchomości Postępu i Użytkowanie Wieczyste na rzecz Oferenta, który przed uprawomocnieniem się postanowienia w przedmiocie zatwierdzenia układu zaoferuje warunki sprzedaży Nieruchomości Postępu i Użytkowania Wieczystego umożliwiające wykonanie Układu. </w:t>
            </w:r>
          </w:p>
          <w:p w14:paraId="080856D0" w14:textId="77777777" w:rsidR="003F71E1" w:rsidRPr="003F71E1" w:rsidRDefault="003F71E1" w:rsidP="00D977C5">
            <w:pPr>
              <w:numPr>
                <w:ilvl w:val="1"/>
                <w:numId w:val="18"/>
              </w:numPr>
              <w:jc w:val="both"/>
              <w:rPr>
                <w:sz w:val="18"/>
                <w:szCs w:val="18"/>
              </w:rPr>
            </w:pPr>
            <w:r w:rsidRPr="003F71E1">
              <w:rPr>
                <w:sz w:val="18"/>
                <w:szCs w:val="18"/>
              </w:rPr>
              <w:t>Cena sprzedaży netto na rzecz Oferenta nie może być niższa niż Wartość oszacowania. Cena sprzedaży zostanie powiększona o podatek od towarów i usług (VAT) w wysokości wynikającej z odrębnych przepisów, jeżeli podatek ten będzie należny.</w:t>
            </w:r>
          </w:p>
          <w:p w14:paraId="42F721FC" w14:textId="77777777" w:rsidR="003F71E1" w:rsidRPr="003F71E1" w:rsidRDefault="003F71E1" w:rsidP="00D977C5">
            <w:pPr>
              <w:jc w:val="both"/>
              <w:rPr>
                <w:sz w:val="18"/>
                <w:szCs w:val="18"/>
              </w:rPr>
            </w:pPr>
          </w:p>
          <w:p w14:paraId="1DDF91C6" w14:textId="77777777" w:rsidR="003F71E1" w:rsidRPr="003F71E1" w:rsidRDefault="003F71E1" w:rsidP="00D977C5">
            <w:pPr>
              <w:numPr>
                <w:ilvl w:val="0"/>
                <w:numId w:val="18"/>
              </w:numPr>
              <w:jc w:val="both"/>
              <w:rPr>
                <w:b/>
                <w:bCs/>
                <w:sz w:val="18"/>
                <w:szCs w:val="18"/>
              </w:rPr>
            </w:pPr>
            <w:r w:rsidRPr="003F71E1">
              <w:rPr>
                <w:b/>
                <w:bCs/>
                <w:sz w:val="18"/>
                <w:szCs w:val="18"/>
              </w:rPr>
              <w:t>SPRZEDAŻ NIERUCHOMOŚCI NA RZECZ NABYWCY WYBRANEGO W PRZETARGU</w:t>
            </w:r>
          </w:p>
          <w:p w14:paraId="24E80883" w14:textId="77777777" w:rsidR="003F71E1" w:rsidRPr="003F71E1" w:rsidRDefault="003F71E1" w:rsidP="00D977C5">
            <w:pPr>
              <w:jc w:val="both"/>
              <w:rPr>
                <w:sz w:val="18"/>
                <w:szCs w:val="18"/>
              </w:rPr>
            </w:pPr>
          </w:p>
          <w:p w14:paraId="749B4A2D" w14:textId="77777777" w:rsidR="003F71E1" w:rsidRPr="003F71E1" w:rsidRDefault="003F71E1" w:rsidP="00D977C5">
            <w:pPr>
              <w:numPr>
                <w:ilvl w:val="1"/>
                <w:numId w:val="18"/>
              </w:numPr>
              <w:jc w:val="both"/>
              <w:rPr>
                <w:sz w:val="18"/>
                <w:szCs w:val="18"/>
              </w:rPr>
            </w:pPr>
            <w:r w:rsidRPr="003F71E1">
              <w:rPr>
                <w:sz w:val="18"/>
                <w:szCs w:val="18"/>
              </w:rPr>
              <w:t>Jeżeli sprzedaż Nieruchomości Postępu i Użytkowania Wieczystego na rzecz Oferenta wybranego w sposób określony w pkt III.2 nie będzie możliwa, Dłużnik podejmie próbę sprzedaży Nieruchomości Postępu i Użytkowania Wieczystego na rzecz nabywcy wyłonionego w drodze Przetargu na zasadach określonych w pkt 3.2. – 3.10. W Przetargu nie będzie mógł wziąć udziału nabywca wyłoniony w sposób określony w pkt III.2, jeżeli z przyczyn leżących po jego stronie, nie doszło do zawarcia umowy sprzedaży.</w:t>
            </w:r>
          </w:p>
          <w:p w14:paraId="04799038" w14:textId="77777777" w:rsidR="003F71E1" w:rsidRPr="003F71E1" w:rsidRDefault="003F71E1" w:rsidP="00D977C5">
            <w:pPr>
              <w:numPr>
                <w:ilvl w:val="1"/>
                <w:numId w:val="18"/>
              </w:numPr>
              <w:jc w:val="both"/>
              <w:rPr>
                <w:sz w:val="18"/>
                <w:szCs w:val="18"/>
              </w:rPr>
            </w:pPr>
            <w:r w:rsidRPr="003F71E1">
              <w:rPr>
                <w:sz w:val="18"/>
                <w:szCs w:val="18"/>
              </w:rPr>
              <w:t>Dłużnik w terminie 14 dni licząc od dnia, w którym doręczone mu zostanie postanowienie w przedmiocie stwierdzenia prawomocności postanowienia o zatwierdzeniu Układu, zamieści ogłoszenia o sprzedaży Nieruchomości Postępu i Użytkowania Wieczystego w Internecie co najmniej na 3 portalach ogłoszeniowych dotyczących nieruchomości, wyznaczając termin do składania ofert zakupu Nieruchomości Postępu i Użytkowania Wieczystego nie krótszy niż 2 tygodnie od dnia ukazania się ogłoszeń. Oferty będą mogły dotyczyć nabycia Nieruchomości 1 i Nieruchomości 2 oraz Użytkowania Wieczystego łącznie.</w:t>
            </w:r>
          </w:p>
          <w:p w14:paraId="469E6F2A" w14:textId="77777777" w:rsidR="003F71E1" w:rsidRPr="003F71E1" w:rsidRDefault="003F71E1" w:rsidP="00D977C5">
            <w:pPr>
              <w:numPr>
                <w:ilvl w:val="1"/>
                <w:numId w:val="18"/>
              </w:numPr>
              <w:jc w:val="both"/>
              <w:rPr>
                <w:sz w:val="18"/>
                <w:szCs w:val="18"/>
              </w:rPr>
            </w:pPr>
            <w:r w:rsidRPr="003F71E1">
              <w:rPr>
                <w:sz w:val="18"/>
                <w:szCs w:val="18"/>
              </w:rPr>
              <w:t>Dłużnik w ogłoszeniu o sprzedaży Nieruchomości Postępu i Użytkowania Wieczystego określi warunki, które musi spełniać oferta oraz wskaże co najmniej: termin, sposób składania ofert oraz cenę minimalną sprzedaży.</w:t>
            </w:r>
          </w:p>
          <w:p w14:paraId="471B6849" w14:textId="77777777" w:rsidR="003F71E1" w:rsidRPr="003F71E1" w:rsidRDefault="003F71E1" w:rsidP="00D977C5">
            <w:pPr>
              <w:numPr>
                <w:ilvl w:val="1"/>
                <w:numId w:val="18"/>
              </w:numPr>
              <w:jc w:val="both"/>
              <w:rPr>
                <w:sz w:val="18"/>
                <w:szCs w:val="18"/>
              </w:rPr>
            </w:pPr>
            <w:r w:rsidRPr="003F71E1">
              <w:rPr>
                <w:sz w:val="18"/>
                <w:szCs w:val="18"/>
              </w:rPr>
              <w:t>Z nabywcą wybranym w Przetargu, Dłużnik zawrze umowę sprzedaży Nieruchomości Postępu i Użytkowania Wieczystego na warunkach określonych w Układzie, wybranej ofercie oraz Regulaminie Przetargu. Kopię umowy sprzedaży (oraz, jeśli zostanie zawarta, umowy przedwstępnej sprzedaży) Dłużnik niezwłocznie, nie później niż w ciągu 3 dni od dnia zawarcia umowy sprzedaży (w przypadku umowy przedwstępnej sprzedaży w ciągu 3 dni od dnia jej zawarcia), prześle Nadzorcy Wykonania Układu.</w:t>
            </w:r>
          </w:p>
          <w:p w14:paraId="017CA40C" w14:textId="77777777" w:rsidR="003F71E1" w:rsidRPr="003F71E1" w:rsidRDefault="003F71E1" w:rsidP="00D977C5">
            <w:pPr>
              <w:numPr>
                <w:ilvl w:val="1"/>
                <w:numId w:val="18"/>
              </w:numPr>
              <w:jc w:val="both"/>
              <w:rPr>
                <w:sz w:val="18"/>
                <w:szCs w:val="18"/>
              </w:rPr>
            </w:pPr>
            <w:r w:rsidRPr="003F71E1">
              <w:rPr>
                <w:sz w:val="18"/>
                <w:szCs w:val="18"/>
              </w:rPr>
              <w:lastRenderedPageBreak/>
              <w:t>Dłużnik zobowiązany jest dołożyć wszelkich starań w celu sprzedaży Nieruchomości Postępu i Użytkowania Wieczystego w najkrótszym możliwym terminie. Jeżeli w Przetargu, o którym mowa powyżej, nie zostanie wybrana żadna oferta lub nie dojdzie do zawarcia umowy sprzedaży z wybranym podmiotem, Dłużnik zorganizuje kolejny Przetarg, z zastrzeżeniem pkt III.1.7.</w:t>
            </w:r>
          </w:p>
          <w:p w14:paraId="25AE0693" w14:textId="77777777" w:rsidR="003F71E1" w:rsidRPr="003F71E1" w:rsidRDefault="003F71E1" w:rsidP="00D977C5">
            <w:pPr>
              <w:numPr>
                <w:ilvl w:val="1"/>
                <w:numId w:val="18"/>
              </w:numPr>
              <w:jc w:val="both"/>
              <w:rPr>
                <w:sz w:val="18"/>
                <w:szCs w:val="18"/>
              </w:rPr>
            </w:pPr>
            <w:r w:rsidRPr="003F71E1">
              <w:rPr>
                <w:sz w:val="18"/>
                <w:szCs w:val="18"/>
              </w:rPr>
              <w:t>Dłużnik dokona wyboru oferty według kryterium wysokości proponowanej ceny z zastrzeżeniem, że cena ta nie może być niższa od ceny określonej w pkt III.3.7. Oferta niespełniająca warunków wskazanych w Układzie, ogłoszeniu o sprzedaży i Regulaminie Przetargu, w szczególności złożona po terminie lub wskazująca cenę niższą od ceny określonej w pkt III.3.7., jak również oferta z innych przyczyn niedopuszczalna, podlega odrzuceniu przez Dłużnika bez wzywania oferenta do jej poprawienia lub uzupełnienia.</w:t>
            </w:r>
          </w:p>
          <w:p w14:paraId="6D313050" w14:textId="16BBEB7D" w:rsidR="003F71E1" w:rsidRPr="00FE5629" w:rsidRDefault="003F71E1" w:rsidP="00D977C5">
            <w:pPr>
              <w:numPr>
                <w:ilvl w:val="1"/>
                <w:numId w:val="18"/>
              </w:numPr>
              <w:jc w:val="both"/>
              <w:rPr>
                <w:sz w:val="18"/>
                <w:szCs w:val="18"/>
              </w:rPr>
            </w:pPr>
            <w:r w:rsidRPr="003F71E1">
              <w:rPr>
                <w:sz w:val="18"/>
                <w:szCs w:val="18"/>
              </w:rPr>
              <w:t>Cena wywoławcza netto sprzedaży Nieruchomości Postępu i Użytkowania Wieczystego wynosić będzie</w:t>
            </w:r>
            <w:r w:rsidR="00FE5629">
              <w:rPr>
                <w:sz w:val="18"/>
                <w:szCs w:val="18"/>
              </w:rPr>
              <w:t xml:space="preserve"> </w:t>
            </w:r>
            <w:r w:rsidRPr="00FE5629">
              <w:rPr>
                <w:sz w:val="18"/>
                <w:szCs w:val="18"/>
              </w:rPr>
              <w:t>100% Wartości oszacowania - w I Przetargu</w:t>
            </w:r>
            <w:r w:rsidR="00FE5629">
              <w:rPr>
                <w:sz w:val="18"/>
                <w:szCs w:val="18"/>
              </w:rPr>
              <w:t>. W</w:t>
            </w:r>
            <w:r w:rsidRPr="00FE5629">
              <w:rPr>
                <w:sz w:val="18"/>
                <w:szCs w:val="18"/>
              </w:rPr>
              <w:t xml:space="preserve"> II i kolejnych Przetargach</w:t>
            </w:r>
            <w:r w:rsidR="00FE5629">
              <w:rPr>
                <w:sz w:val="18"/>
                <w:szCs w:val="18"/>
              </w:rPr>
              <w:t xml:space="preserve"> może zostać obniżona do 75% Wartości oszacowania, </w:t>
            </w:r>
            <w:r w:rsidRPr="00FE5629">
              <w:rPr>
                <w:sz w:val="18"/>
                <w:szCs w:val="18"/>
              </w:rPr>
              <w:t>chyba że z uzasadnionych przyczyn Nadzorca Wykonania Układu wyrazi zgodę na sprzedaż Nieruchomości po niższej cenie.</w:t>
            </w:r>
          </w:p>
          <w:p w14:paraId="13174ECF" w14:textId="77777777" w:rsidR="003F71E1" w:rsidRPr="003F71E1" w:rsidRDefault="003F71E1" w:rsidP="00D977C5">
            <w:pPr>
              <w:numPr>
                <w:ilvl w:val="1"/>
                <w:numId w:val="18"/>
              </w:numPr>
              <w:jc w:val="both"/>
              <w:rPr>
                <w:sz w:val="18"/>
                <w:szCs w:val="18"/>
              </w:rPr>
            </w:pPr>
            <w:r w:rsidRPr="003F71E1">
              <w:rPr>
                <w:sz w:val="18"/>
                <w:szCs w:val="18"/>
              </w:rPr>
              <w:t>Cena sprzedaży zostanie powiększona o podatek od towarów i usług (VAT) w wysokości wynikającej z odrębnych przepisów, jeżeli podatek ten będzie należny.</w:t>
            </w:r>
          </w:p>
          <w:p w14:paraId="00372010" w14:textId="77777777" w:rsidR="003F71E1" w:rsidRPr="003F71E1" w:rsidRDefault="003F71E1" w:rsidP="00D977C5">
            <w:pPr>
              <w:numPr>
                <w:ilvl w:val="1"/>
                <w:numId w:val="18"/>
              </w:numPr>
              <w:jc w:val="both"/>
              <w:rPr>
                <w:sz w:val="18"/>
                <w:szCs w:val="18"/>
              </w:rPr>
            </w:pPr>
            <w:r w:rsidRPr="003F71E1">
              <w:rPr>
                <w:sz w:val="18"/>
                <w:szCs w:val="18"/>
              </w:rPr>
              <w:t>Pozostałe zasady przeprowadzenia oraz warunki udziału w Przetargu zostaną określone w Regulaminie Przetargu, który zostanie umieszczony na stronie internetowej Nadzorcy wykonania układu najpóźniej w dniu ukazania się ogłoszenia o Przetargu.</w:t>
            </w:r>
          </w:p>
          <w:p w14:paraId="5DD5B684" w14:textId="77777777" w:rsidR="003F71E1" w:rsidRPr="003F71E1" w:rsidRDefault="003F71E1" w:rsidP="00D977C5">
            <w:pPr>
              <w:numPr>
                <w:ilvl w:val="1"/>
                <w:numId w:val="18"/>
              </w:numPr>
              <w:jc w:val="both"/>
              <w:rPr>
                <w:sz w:val="18"/>
                <w:szCs w:val="18"/>
              </w:rPr>
            </w:pPr>
            <w:r w:rsidRPr="003F71E1">
              <w:rPr>
                <w:sz w:val="18"/>
                <w:szCs w:val="18"/>
              </w:rPr>
              <w:t xml:space="preserve">Nieruchomości Postępu i Użytkowania Wieczystego mogą zostać sprzedane na rzecz wskazanego przez Dłużnika nabywcy lub nabywców wybranych z pominięciem procedury sprzedaży określonej w pkt. III, pod warunkiem uzyskania przez Dłużnika ceny nie niższej niż Wartość oszacowania. </w:t>
            </w:r>
          </w:p>
          <w:p w14:paraId="6AC7C257" w14:textId="77777777" w:rsidR="003F71E1" w:rsidRPr="003F71E1" w:rsidRDefault="003F71E1" w:rsidP="00D977C5">
            <w:pPr>
              <w:jc w:val="both"/>
              <w:rPr>
                <w:b/>
                <w:bCs/>
                <w:sz w:val="18"/>
                <w:szCs w:val="18"/>
              </w:rPr>
            </w:pPr>
          </w:p>
          <w:p w14:paraId="0C776A69" w14:textId="77777777" w:rsidR="003F71E1" w:rsidRPr="003F71E1" w:rsidRDefault="003F71E1" w:rsidP="00D977C5">
            <w:pPr>
              <w:numPr>
                <w:ilvl w:val="0"/>
                <w:numId w:val="14"/>
              </w:numPr>
              <w:jc w:val="both"/>
              <w:rPr>
                <w:b/>
                <w:bCs/>
                <w:sz w:val="18"/>
                <w:szCs w:val="18"/>
              </w:rPr>
            </w:pPr>
            <w:r w:rsidRPr="003F71E1">
              <w:rPr>
                <w:b/>
                <w:bCs/>
                <w:sz w:val="18"/>
                <w:szCs w:val="18"/>
              </w:rPr>
              <w:t>SPŁATA WIERZYTELNOŚCI</w:t>
            </w:r>
          </w:p>
          <w:p w14:paraId="5C39F9B6" w14:textId="77777777" w:rsidR="003F71E1" w:rsidRPr="003F71E1" w:rsidRDefault="003F71E1" w:rsidP="00D977C5">
            <w:pPr>
              <w:jc w:val="both"/>
              <w:rPr>
                <w:b/>
                <w:bCs/>
                <w:sz w:val="18"/>
                <w:szCs w:val="18"/>
              </w:rPr>
            </w:pPr>
          </w:p>
          <w:p w14:paraId="372DA478" w14:textId="77777777" w:rsidR="003F71E1" w:rsidRPr="003F71E1" w:rsidRDefault="003F71E1" w:rsidP="00D977C5">
            <w:pPr>
              <w:numPr>
                <w:ilvl w:val="0"/>
                <w:numId w:val="21"/>
              </w:numPr>
              <w:jc w:val="both"/>
              <w:rPr>
                <w:sz w:val="18"/>
                <w:szCs w:val="18"/>
              </w:rPr>
            </w:pPr>
            <w:r w:rsidRPr="003F71E1">
              <w:rPr>
                <w:sz w:val="18"/>
                <w:szCs w:val="18"/>
              </w:rPr>
              <w:t>Dłużnik zapłaci na rzecz Wierzycieli 45% należności głównej. Należności odsetkowe oraz wszelkie pozostałe koszty dodatkowe (np. koszty procesu, koszty egzekucji etc.) w całości podlegają umorzeniu.</w:t>
            </w:r>
          </w:p>
          <w:p w14:paraId="6D0B51E7" w14:textId="77777777" w:rsidR="003F71E1" w:rsidRPr="003F71E1" w:rsidRDefault="003F71E1" w:rsidP="00D977C5">
            <w:pPr>
              <w:numPr>
                <w:ilvl w:val="0"/>
                <w:numId w:val="21"/>
              </w:numPr>
              <w:jc w:val="both"/>
              <w:rPr>
                <w:sz w:val="18"/>
                <w:szCs w:val="18"/>
              </w:rPr>
            </w:pPr>
            <w:r w:rsidRPr="003F71E1">
              <w:rPr>
                <w:sz w:val="18"/>
                <w:szCs w:val="18"/>
              </w:rPr>
              <w:t>Zaspokojenie Wierzycieli nastąpi ze środków uzyskanych przez Dłużnika ze sprzedaży Nieruchomości Postępu i Użytkowania wieczystego, jednorazowo w terminie 1 miesiąca od dnia uzyskania przez Dłużnika ceny, nie później jednak niż w terminie 12 miesięcy licząc od dnia doręczenia Dłużnikowi postanowienia stwierdzającego prawomocność postanowienia o zatwierdzeniu Układu.</w:t>
            </w:r>
          </w:p>
          <w:p w14:paraId="6652019A" w14:textId="77777777" w:rsidR="003F71E1" w:rsidRPr="003F71E1" w:rsidRDefault="003F71E1" w:rsidP="00D977C5">
            <w:pPr>
              <w:numPr>
                <w:ilvl w:val="0"/>
                <w:numId w:val="21"/>
              </w:numPr>
              <w:jc w:val="both"/>
              <w:rPr>
                <w:sz w:val="18"/>
                <w:szCs w:val="18"/>
              </w:rPr>
            </w:pPr>
            <w:r w:rsidRPr="003F71E1">
              <w:rPr>
                <w:sz w:val="18"/>
                <w:szCs w:val="18"/>
              </w:rPr>
              <w:t>W wypadku, gdyby dzień płatności wierzytelności układowych przypadał na sobotę lub dzień ustawowo wolny od pracy, dniem płatności jest najbliższy dzień roboczy. Termin zapłaty wierzytelności układowych zastrzeżony jest na korzyść Dłużnika, co oznacza, że mogą one zostać zapłacone wcześniej.</w:t>
            </w:r>
          </w:p>
          <w:p w14:paraId="7314665B" w14:textId="77777777" w:rsidR="003F71E1" w:rsidRPr="003F71E1" w:rsidRDefault="003F71E1" w:rsidP="00D977C5">
            <w:pPr>
              <w:numPr>
                <w:ilvl w:val="0"/>
                <w:numId w:val="21"/>
              </w:numPr>
              <w:jc w:val="both"/>
              <w:rPr>
                <w:sz w:val="18"/>
                <w:szCs w:val="18"/>
              </w:rPr>
            </w:pPr>
            <w:r w:rsidRPr="003F71E1">
              <w:rPr>
                <w:sz w:val="18"/>
                <w:szCs w:val="18"/>
              </w:rPr>
              <w:t>Środki uzyskane ze sprzedaży Nieruchomości Postępu i Użytkowania wieczystego w pierwszej kolejności zostaną przekazane na spłatę wierzycieli nieobjętych Układem, którym przysługują wierzytelności z tytułu emisji obligacji, zabezpieczone Hipoteką, a następnie na spłatę pozostałych wierzycieli nieobjętych Układem.</w:t>
            </w:r>
          </w:p>
          <w:p w14:paraId="70A7A319" w14:textId="77777777" w:rsidR="003F71E1" w:rsidRPr="003F71E1" w:rsidRDefault="003F71E1" w:rsidP="00D977C5">
            <w:pPr>
              <w:numPr>
                <w:ilvl w:val="0"/>
                <w:numId w:val="21"/>
              </w:numPr>
              <w:jc w:val="both"/>
              <w:rPr>
                <w:sz w:val="18"/>
                <w:szCs w:val="18"/>
              </w:rPr>
            </w:pPr>
            <w:r w:rsidRPr="003F71E1">
              <w:rPr>
                <w:sz w:val="18"/>
                <w:szCs w:val="18"/>
              </w:rPr>
              <w:t>Jeżeli cena uzyskana ze sprzedaży Nieruchomości Postępu i Użytkowania wieczystego z jakichkolwiek powodów nie wystarczy na zaspokojenie wierzytelności objętych Układem, Dłużnik zobowiązany będzie do pozyskania brakującej kwoty z dowolnego źródła (w szczególności sprzedaży innego majątku, dokapitalizowania) celem zaspokojenia pozostałej części wierzytelności. W takim przypadku pozostała część wierzytelności objętych Układem (tj. niezaspokojona ze środków uzyskanych ze sprzedaży Nieruchomości Postępu i Użytkowania wieczystego) zostanie zaspokojona nie później niż w terminie 14 miesięcy licząc od dnia doręczenia Dłużnikowi postanowienia stwierdzającego prawomocność postanowienia o zatwierdzeniu Układu.</w:t>
            </w:r>
          </w:p>
          <w:p w14:paraId="6A28E19A" w14:textId="77777777" w:rsidR="003F71E1" w:rsidRPr="003F71E1" w:rsidRDefault="003F71E1" w:rsidP="00D977C5">
            <w:pPr>
              <w:jc w:val="both"/>
              <w:rPr>
                <w:sz w:val="18"/>
                <w:szCs w:val="18"/>
              </w:rPr>
            </w:pPr>
          </w:p>
          <w:p w14:paraId="3D63C3F6" w14:textId="77777777" w:rsidR="003F71E1" w:rsidRPr="003F71E1" w:rsidRDefault="003F71E1" w:rsidP="00D977C5">
            <w:pPr>
              <w:numPr>
                <w:ilvl w:val="0"/>
                <w:numId w:val="14"/>
              </w:numPr>
              <w:jc w:val="both"/>
              <w:rPr>
                <w:b/>
                <w:bCs/>
                <w:sz w:val="18"/>
                <w:szCs w:val="18"/>
              </w:rPr>
            </w:pPr>
            <w:r w:rsidRPr="003F71E1">
              <w:rPr>
                <w:b/>
                <w:bCs/>
                <w:sz w:val="18"/>
                <w:szCs w:val="18"/>
              </w:rPr>
              <w:t xml:space="preserve"> POZOSTAŁE POSTANOWIENIA</w:t>
            </w:r>
          </w:p>
          <w:p w14:paraId="3761873D" w14:textId="77777777" w:rsidR="003F71E1" w:rsidRPr="003F71E1" w:rsidRDefault="003F71E1" w:rsidP="00D977C5">
            <w:pPr>
              <w:jc w:val="both"/>
              <w:rPr>
                <w:sz w:val="18"/>
                <w:szCs w:val="18"/>
              </w:rPr>
            </w:pPr>
          </w:p>
          <w:p w14:paraId="338E04F4" w14:textId="77777777" w:rsidR="003F71E1" w:rsidRPr="003F71E1" w:rsidRDefault="003F71E1" w:rsidP="00D977C5">
            <w:pPr>
              <w:numPr>
                <w:ilvl w:val="0"/>
                <w:numId w:val="19"/>
              </w:numPr>
              <w:jc w:val="both"/>
              <w:rPr>
                <w:sz w:val="18"/>
                <w:szCs w:val="18"/>
              </w:rPr>
            </w:pPr>
            <w:r w:rsidRPr="003F71E1">
              <w:rPr>
                <w:sz w:val="18"/>
                <w:szCs w:val="18"/>
              </w:rPr>
              <w:t>Osobą odpowiedzialną za wykonanie układu jest Dłużnik.</w:t>
            </w:r>
          </w:p>
          <w:p w14:paraId="011DDA1D" w14:textId="133210A8" w:rsidR="00E456AB" w:rsidRPr="00D977C5" w:rsidRDefault="003F71E1" w:rsidP="00D977C5">
            <w:pPr>
              <w:numPr>
                <w:ilvl w:val="0"/>
                <w:numId w:val="19"/>
              </w:numPr>
              <w:jc w:val="both"/>
              <w:rPr>
                <w:sz w:val="18"/>
                <w:szCs w:val="18"/>
              </w:rPr>
            </w:pPr>
            <w:r w:rsidRPr="003F71E1">
              <w:rPr>
                <w:sz w:val="18"/>
                <w:szCs w:val="18"/>
              </w:rPr>
              <w:t>Dłużnik zobowiązany jest do przedkładania Nadzorcy wykonania Układu, w terminie przez niego wyznaczonym, miesięcznych sprawozdań z wykonywania Układu. Zakres sprawozdania zostanie określony przez Nadzorcę wykonania układu po uprawomocnieniu się postanowienia o zatwierdzeniu układu.</w:t>
            </w:r>
          </w:p>
        </w:tc>
      </w:tr>
      <w:tr w:rsidR="00E456AB" w14:paraId="7E7B2F99" w14:textId="77777777" w:rsidTr="00454C08">
        <w:trPr>
          <w:trHeight w:val="128"/>
        </w:trPr>
        <w:tc>
          <w:tcPr>
            <w:tcW w:w="9327" w:type="dxa"/>
            <w:gridSpan w:val="7"/>
            <w:shd w:val="clear" w:color="auto" w:fill="D9D9D9" w:themeFill="background1" w:themeFillShade="D9"/>
          </w:tcPr>
          <w:p w14:paraId="062CC481" w14:textId="77777777" w:rsidR="00E456AB" w:rsidRPr="0006227B" w:rsidRDefault="007305A6" w:rsidP="00E456AB">
            <w:pPr>
              <w:jc w:val="center"/>
              <w:rPr>
                <w:sz w:val="18"/>
                <w:szCs w:val="18"/>
              </w:rPr>
            </w:pPr>
            <w:r>
              <w:rPr>
                <w:sz w:val="18"/>
                <w:szCs w:val="18"/>
              </w:rPr>
              <w:lastRenderedPageBreak/>
              <w:t xml:space="preserve">D. </w:t>
            </w:r>
            <w:r w:rsidR="00E456AB" w:rsidRPr="0006227B">
              <w:rPr>
                <w:sz w:val="18"/>
                <w:szCs w:val="18"/>
              </w:rPr>
              <w:t>NADZORCA UKŁADU</w:t>
            </w:r>
          </w:p>
        </w:tc>
      </w:tr>
      <w:tr w:rsidR="008669B5" w14:paraId="6FC88DFE" w14:textId="77777777" w:rsidTr="002C0A38">
        <w:trPr>
          <w:trHeight w:val="84"/>
        </w:trPr>
        <w:tc>
          <w:tcPr>
            <w:tcW w:w="4361" w:type="dxa"/>
            <w:gridSpan w:val="5"/>
            <w:shd w:val="clear" w:color="auto" w:fill="D9D9D9" w:themeFill="background1" w:themeFillShade="D9"/>
          </w:tcPr>
          <w:p w14:paraId="56DDFD43" w14:textId="77777777" w:rsidR="008669B5" w:rsidRPr="00454C08" w:rsidRDefault="008669B5" w:rsidP="008669B5">
            <w:pPr>
              <w:rPr>
                <w:sz w:val="18"/>
                <w:szCs w:val="18"/>
              </w:rPr>
            </w:pPr>
            <w:r>
              <w:rPr>
                <w:sz w:val="18"/>
                <w:szCs w:val="18"/>
              </w:rPr>
              <w:t xml:space="preserve">D.1. </w:t>
            </w:r>
            <w:r w:rsidRPr="00454C08">
              <w:rPr>
                <w:sz w:val="18"/>
                <w:szCs w:val="18"/>
              </w:rPr>
              <w:t>Imię i nazwisko/nazwa</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378CB4D0" w14:textId="77777777" w:rsidR="008669B5" w:rsidRPr="008669B5" w:rsidRDefault="008669B5" w:rsidP="008669B5">
            <w:pPr>
              <w:jc w:val="center"/>
              <w:rPr>
                <w:rFonts w:cstheme="minorHAnsi"/>
                <w:sz w:val="18"/>
                <w:szCs w:val="18"/>
              </w:rPr>
            </w:pPr>
            <w:proofErr w:type="spellStart"/>
            <w:r w:rsidRPr="008669B5">
              <w:rPr>
                <w:rFonts w:cstheme="minorHAnsi"/>
                <w:sz w:val="18"/>
                <w:szCs w:val="18"/>
              </w:rPr>
              <w:t>Zimmerman</w:t>
            </w:r>
            <w:proofErr w:type="spellEnd"/>
            <w:r w:rsidRPr="008669B5">
              <w:rPr>
                <w:rFonts w:cstheme="minorHAnsi"/>
                <w:sz w:val="18"/>
                <w:szCs w:val="18"/>
              </w:rPr>
              <w:t xml:space="preserve"> Filipiak Restrukturyzacja S.A. </w:t>
            </w:r>
          </w:p>
          <w:p w14:paraId="2C016642" w14:textId="77777777" w:rsidR="008669B5" w:rsidRPr="008669B5" w:rsidRDefault="008669B5" w:rsidP="008669B5">
            <w:pPr>
              <w:jc w:val="center"/>
              <w:rPr>
                <w:rFonts w:cstheme="minorHAnsi"/>
                <w:sz w:val="18"/>
                <w:szCs w:val="18"/>
              </w:rPr>
            </w:pPr>
            <w:r w:rsidRPr="008669B5">
              <w:rPr>
                <w:rFonts w:cstheme="minorHAnsi"/>
                <w:sz w:val="18"/>
                <w:szCs w:val="18"/>
              </w:rPr>
              <w:t>z siedzibą w Warszawie</w:t>
            </w:r>
          </w:p>
          <w:p w14:paraId="34C11ED4" w14:textId="77777777" w:rsidR="008669B5" w:rsidRPr="008669B5" w:rsidRDefault="008669B5" w:rsidP="008669B5">
            <w:pPr>
              <w:pStyle w:val="Akapitzlist"/>
              <w:rPr>
                <w:rFonts w:cstheme="minorHAnsi"/>
                <w:sz w:val="18"/>
                <w:szCs w:val="18"/>
              </w:rPr>
            </w:pPr>
          </w:p>
        </w:tc>
      </w:tr>
      <w:tr w:rsidR="008669B5" w14:paraId="4A066561" w14:textId="77777777" w:rsidTr="002C0A38">
        <w:trPr>
          <w:trHeight w:val="84"/>
        </w:trPr>
        <w:tc>
          <w:tcPr>
            <w:tcW w:w="4361" w:type="dxa"/>
            <w:gridSpan w:val="5"/>
            <w:shd w:val="clear" w:color="auto" w:fill="D9D9D9" w:themeFill="background1" w:themeFillShade="D9"/>
          </w:tcPr>
          <w:p w14:paraId="7BFC4773" w14:textId="77777777" w:rsidR="008669B5" w:rsidRPr="00454C08" w:rsidRDefault="008669B5" w:rsidP="008669B5">
            <w:pPr>
              <w:rPr>
                <w:sz w:val="18"/>
                <w:szCs w:val="18"/>
              </w:rPr>
            </w:pPr>
            <w:r>
              <w:rPr>
                <w:sz w:val="18"/>
                <w:szCs w:val="18"/>
              </w:rPr>
              <w:t xml:space="preserve">D.2. </w:t>
            </w:r>
            <w:r w:rsidRPr="00454C08">
              <w:rPr>
                <w:sz w:val="18"/>
                <w:szCs w:val="18"/>
              </w:rPr>
              <w:t xml:space="preserve">Numer licencji </w:t>
            </w:r>
            <w:r>
              <w:rPr>
                <w:sz w:val="18"/>
                <w:szCs w:val="18"/>
              </w:rPr>
              <w:t>albo numer w Krajowym Rejestrze Sądowym spółki pełniącej funkcję nadzorcy układu</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4CBCAB85" w14:textId="77777777" w:rsidR="008669B5" w:rsidRPr="008669B5" w:rsidRDefault="008669B5" w:rsidP="008669B5">
            <w:pPr>
              <w:jc w:val="center"/>
              <w:rPr>
                <w:rFonts w:cstheme="minorHAnsi"/>
                <w:sz w:val="18"/>
                <w:szCs w:val="18"/>
              </w:rPr>
            </w:pPr>
            <w:r w:rsidRPr="008669B5">
              <w:rPr>
                <w:rFonts w:cstheme="minorHAnsi"/>
                <w:sz w:val="18"/>
                <w:szCs w:val="18"/>
              </w:rPr>
              <w:t>KRS: 0000591282</w:t>
            </w:r>
          </w:p>
          <w:p w14:paraId="75EC9A18" w14:textId="77777777" w:rsidR="008669B5" w:rsidRPr="008669B5" w:rsidRDefault="008669B5" w:rsidP="008669B5">
            <w:pPr>
              <w:jc w:val="center"/>
              <w:rPr>
                <w:rFonts w:cstheme="minorHAnsi"/>
                <w:sz w:val="18"/>
                <w:szCs w:val="18"/>
                <w:u w:val="single"/>
              </w:rPr>
            </w:pPr>
            <w:r w:rsidRPr="008669B5">
              <w:rPr>
                <w:rFonts w:cstheme="minorHAnsi"/>
                <w:sz w:val="18"/>
                <w:szCs w:val="18"/>
                <w:u w:val="single"/>
              </w:rPr>
              <w:t>Numery licencji członków zarządu:</w:t>
            </w:r>
          </w:p>
          <w:p w14:paraId="10E07771" w14:textId="7553825E" w:rsidR="008669B5" w:rsidRPr="008669B5" w:rsidRDefault="008669B5" w:rsidP="008669B5">
            <w:pPr>
              <w:jc w:val="center"/>
              <w:rPr>
                <w:rFonts w:cstheme="minorHAnsi"/>
                <w:sz w:val="18"/>
                <w:szCs w:val="18"/>
              </w:rPr>
            </w:pPr>
            <w:r w:rsidRPr="008669B5">
              <w:rPr>
                <w:rFonts w:cstheme="minorHAnsi"/>
                <w:sz w:val="18"/>
                <w:szCs w:val="18"/>
              </w:rPr>
              <w:t xml:space="preserve">Piotr </w:t>
            </w:r>
            <w:proofErr w:type="spellStart"/>
            <w:r w:rsidRPr="008669B5">
              <w:rPr>
                <w:rFonts w:cstheme="minorHAnsi"/>
                <w:sz w:val="18"/>
                <w:szCs w:val="18"/>
              </w:rPr>
              <w:t>Zimmerman</w:t>
            </w:r>
            <w:proofErr w:type="spellEnd"/>
            <w:r w:rsidRPr="008669B5">
              <w:rPr>
                <w:rFonts w:cstheme="minorHAnsi"/>
                <w:sz w:val="18"/>
                <w:szCs w:val="18"/>
              </w:rPr>
              <w:t xml:space="preserve"> - licencja nr 844</w:t>
            </w:r>
          </w:p>
          <w:p w14:paraId="0E52F31C" w14:textId="1FBD4005" w:rsidR="008669B5" w:rsidRPr="008669B5" w:rsidRDefault="008669B5" w:rsidP="008669B5">
            <w:pPr>
              <w:jc w:val="center"/>
              <w:rPr>
                <w:rFonts w:cstheme="minorHAnsi"/>
                <w:sz w:val="18"/>
                <w:szCs w:val="18"/>
              </w:rPr>
            </w:pPr>
            <w:r w:rsidRPr="008669B5">
              <w:rPr>
                <w:rFonts w:cstheme="minorHAnsi"/>
                <w:sz w:val="18"/>
                <w:szCs w:val="18"/>
              </w:rPr>
              <w:t>Patryk Filipiak - licencja nr 634</w:t>
            </w:r>
          </w:p>
          <w:p w14:paraId="03C224B2" w14:textId="72ED34B2" w:rsidR="008669B5" w:rsidRPr="008669B5" w:rsidRDefault="008669B5" w:rsidP="008669B5">
            <w:pPr>
              <w:pStyle w:val="Akapitzlist"/>
              <w:rPr>
                <w:rFonts w:cstheme="minorHAnsi"/>
                <w:sz w:val="18"/>
                <w:szCs w:val="18"/>
              </w:rPr>
            </w:pPr>
            <w:r>
              <w:rPr>
                <w:rFonts w:cstheme="minorHAnsi"/>
                <w:sz w:val="18"/>
                <w:szCs w:val="18"/>
              </w:rPr>
              <w:t xml:space="preserve">         </w:t>
            </w:r>
            <w:r w:rsidRPr="008669B5">
              <w:rPr>
                <w:rFonts w:cstheme="minorHAnsi"/>
                <w:sz w:val="18"/>
                <w:szCs w:val="18"/>
              </w:rPr>
              <w:t>Bartosz Sierakowski - licencja nr 845</w:t>
            </w:r>
          </w:p>
        </w:tc>
      </w:tr>
      <w:tr w:rsidR="008669B5" w14:paraId="32FBE85C" w14:textId="77777777" w:rsidTr="002C0A38">
        <w:trPr>
          <w:trHeight w:val="84"/>
        </w:trPr>
        <w:tc>
          <w:tcPr>
            <w:tcW w:w="4361" w:type="dxa"/>
            <w:gridSpan w:val="5"/>
            <w:shd w:val="clear" w:color="auto" w:fill="D9D9D9" w:themeFill="background1" w:themeFillShade="D9"/>
          </w:tcPr>
          <w:p w14:paraId="726C1439" w14:textId="77777777" w:rsidR="008669B5" w:rsidRPr="00454C08" w:rsidRDefault="008669B5" w:rsidP="008669B5">
            <w:pPr>
              <w:rPr>
                <w:sz w:val="18"/>
                <w:szCs w:val="18"/>
              </w:rPr>
            </w:pPr>
            <w:r>
              <w:rPr>
                <w:sz w:val="18"/>
                <w:szCs w:val="18"/>
              </w:rPr>
              <w:t xml:space="preserve">D.3. </w:t>
            </w:r>
            <w:r w:rsidRPr="00454C08">
              <w:rPr>
                <w:sz w:val="18"/>
                <w:szCs w:val="18"/>
              </w:rPr>
              <w:t>Adres</w:t>
            </w:r>
            <w:r>
              <w:rPr>
                <w:sz w:val="18"/>
                <w:szCs w:val="18"/>
              </w:rPr>
              <w:t xml:space="preserve"> do korespondencji</w:t>
            </w:r>
            <w:r w:rsidRPr="00454C08">
              <w:rPr>
                <w:sz w:val="18"/>
                <w:szCs w:val="18"/>
              </w:rPr>
              <w:t xml:space="preserve"> (nazwa ulicy, nr domu, numer lokalu, kod pocztowy, poczta)</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3750D4AE" w14:textId="3C614762" w:rsidR="008669B5" w:rsidRPr="008669B5" w:rsidRDefault="008669B5" w:rsidP="008669B5">
            <w:pPr>
              <w:pStyle w:val="Akapitzlist"/>
              <w:rPr>
                <w:rFonts w:cstheme="minorHAnsi"/>
                <w:sz w:val="18"/>
                <w:szCs w:val="18"/>
              </w:rPr>
            </w:pPr>
            <w:r w:rsidRPr="008669B5">
              <w:rPr>
                <w:rFonts w:cstheme="minorHAnsi"/>
                <w:sz w:val="18"/>
                <w:szCs w:val="18"/>
              </w:rPr>
              <w:t>ul. Grunwaldzka 38, 60-786 Poznań</w:t>
            </w:r>
          </w:p>
        </w:tc>
      </w:tr>
      <w:tr w:rsidR="008669B5" w14:paraId="7D3EBE81" w14:textId="77777777" w:rsidTr="002C0A38">
        <w:trPr>
          <w:trHeight w:val="84"/>
        </w:trPr>
        <w:tc>
          <w:tcPr>
            <w:tcW w:w="4361" w:type="dxa"/>
            <w:gridSpan w:val="5"/>
            <w:shd w:val="clear" w:color="auto" w:fill="D9D9D9" w:themeFill="background1" w:themeFillShade="D9"/>
          </w:tcPr>
          <w:p w14:paraId="050DE066" w14:textId="77777777" w:rsidR="008669B5" w:rsidRPr="00454C08" w:rsidRDefault="008669B5" w:rsidP="008669B5">
            <w:pPr>
              <w:rPr>
                <w:sz w:val="18"/>
                <w:szCs w:val="18"/>
              </w:rPr>
            </w:pPr>
            <w:r>
              <w:rPr>
                <w:sz w:val="18"/>
                <w:szCs w:val="18"/>
              </w:rPr>
              <w:t xml:space="preserve">D.4. </w:t>
            </w:r>
            <w:r w:rsidRPr="00454C08">
              <w:rPr>
                <w:sz w:val="18"/>
                <w:szCs w:val="18"/>
              </w:rPr>
              <w:t>Numer telefonu</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7AFC41A1" w14:textId="77777777" w:rsidR="008669B5" w:rsidRPr="008669B5" w:rsidRDefault="008669B5" w:rsidP="008669B5">
            <w:pPr>
              <w:jc w:val="center"/>
              <w:rPr>
                <w:rFonts w:cstheme="minorHAnsi"/>
                <w:sz w:val="18"/>
                <w:szCs w:val="18"/>
              </w:rPr>
            </w:pPr>
          </w:p>
          <w:p w14:paraId="3A6EC52F" w14:textId="77777777" w:rsidR="008669B5" w:rsidRPr="008669B5" w:rsidRDefault="008669B5" w:rsidP="008669B5">
            <w:pPr>
              <w:jc w:val="center"/>
              <w:rPr>
                <w:rFonts w:cstheme="minorHAnsi"/>
                <w:sz w:val="18"/>
                <w:szCs w:val="18"/>
              </w:rPr>
            </w:pPr>
            <w:r w:rsidRPr="008669B5">
              <w:rPr>
                <w:rFonts w:cstheme="minorHAnsi"/>
                <w:sz w:val="18"/>
                <w:szCs w:val="18"/>
              </w:rPr>
              <w:t>+48 537 408 403</w:t>
            </w:r>
          </w:p>
          <w:p w14:paraId="748DC155" w14:textId="77777777" w:rsidR="008669B5" w:rsidRPr="008669B5" w:rsidRDefault="008669B5" w:rsidP="008669B5">
            <w:pPr>
              <w:pStyle w:val="Akapitzlist"/>
              <w:rPr>
                <w:rFonts w:cstheme="minorHAnsi"/>
                <w:sz w:val="18"/>
                <w:szCs w:val="18"/>
              </w:rPr>
            </w:pPr>
          </w:p>
        </w:tc>
      </w:tr>
      <w:tr w:rsidR="008669B5" w14:paraId="531EF5F2" w14:textId="77777777" w:rsidTr="002C0A38">
        <w:trPr>
          <w:trHeight w:val="84"/>
        </w:trPr>
        <w:tc>
          <w:tcPr>
            <w:tcW w:w="4361" w:type="dxa"/>
            <w:gridSpan w:val="5"/>
            <w:shd w:val="clear" w:color="auto" w:fill="D9D9D9" w:themeFill="background1" w:themeFillShade="D9"/>
          </w:tcPr>
          <w:p w14:paraId="6B1F675A" w14:textId="77777777" w:rsidR="008669B5" w:rsidRPr="00454C08" w:rsidRDefault="008669B5" w:rsidP="008669B5">
            <w:pPr>
              <w:rPr>
                <w:sz w:val="18"/>
                <w:szCs w:val="18"/>
              </w:rPr>
            </w:pPr>
            <w:r>
              <w:rPr>
                <w:sz w:val="18"/>
                <w:szCs w:val="18"/>
              </w:rPr>
              <w:lastRenderedPageBreak/>
              <w:t xml:space="preserve">D.5. </w:t>
            </w:r>
            <w:r w:rsidRPr="00454C08">
              <w:rPr>
                <w:sz w:val="18"/>
                <w:szCs w:val="18"/>
              </w:rPr>
              <w:t>Adres poczty elektronicznej</w:t>
            </w:r>
          </w:p>
        </w:tc>
        <w:tc>
          <w:tcPr>
            <w:tcW w:w="4966" w:type="dxa"/>
            <w:gridSpan w:val="2"/>
            <w:tcBorders>
              <w:top w:val="single" w:sz="4" w:space="0" w:color="auto"/>
              <w:left w:val="single" w:sz="4" w:space="0" w:color="auto"/>
              <w:bottom w:val="single" w:sz="4" w:space="0" w:color="auto"/>
              <w:right w:val="single" w:sz="4" w:space="0" w:color="auto"/>
            </w:tcBorders>
            <w:vAlign w:val="center"/>
          </w:tcPr>
          <w:p w14:paraId="468F741D" w14:textId="77777777" w:rsidR="008669B5" w:rsidRPr="008669B5" w:rsidRDefault="008669B5" w:rsidP="008669B5">
            <w:pPr>
              <w:jc w:val="center"/>
              <w:rPr>
                <w:rFonts w:cstheme="minorHAnsi"/>
                <w:sz w:val="18"/>
                <w:szCs w:val="18"/>
              </w:rPr>
            </w:pPr>
          </w:p>
          <w:p w14:paraId="086666CA" w14:textId="514C906F" w:rsidR="008669B5" w:rsidRPr="008669B5" w:rsidRDefault="008669B5" w:rsidP="008669B5">
            <w:pPr>
              <w:jc w:val="center"/>
              <w:rPr>
                <w:rFonts w:cstheme="minorHAnsi"/>
                <w:sz w:val="18"/>
                <w:szCs w:val="18"/>
              </w:rPr>
            </w:pPr>
            <w:r w:rsidRPr="008669B5">
              <w:rPr>
                <w:rFonts w:cstheme="minorHAnsi"/>
                <w:sz w:val="18"/>
                <w:szCs w:val="18"/>
              </w:rPr>
              <w:t>gghmanagement10@zfrsa.pl</w:t>
            </w:r>
          </w:p>
          <w:p w14:paraId="037C503D" w14:textId="77777777" w:rsidR="008669B5" w:rsidRPr="008669B5" w:rsidRDefault="008669B5" w:rsidP="008669B5">
            <w:pPr>
              <w:pStyle w:val="Akapitzlist"/>
              <w:rPr>
                <w:rFonts w:cstheme="minorHAnsi"/>
                <w:sz w:val="18"/>
                <w:szCs w:val="18"/>
              </w:rPr>
            </w:pPr>
          </w:p>
        </w:tc>
      </w:tr>
      <w:tr w:rsidR="0062747E" w14:paraId="2007F084" w14:textId="77777777" w:rsidTr="00454C08">
        <w:trPr>
          <w:trHeight w:val="84"/>
        </w:trPr>
        <w:tc>
          <w:tcPr>
            <w:tcW w:w="8085" w:type="dxa"/>
            <w:gridSpan w:val="6"/>
            <w:shd w:val="clear" w:color="auto" w:fill="D9D9D9" w:themeFill="background1" w:themeFillShade="D9"/>
          </w:tcPr>
          <w:p w14:paraId="65CE312F" w14:textId="77777777" w:rsidR="0062747E" w:rsidRPr="0006227B" w:rsidRDefault="005536B2" w:rsidP="00454C08">
            <w:pPr>
              <w:rPr>
                <w:sz w:val="18"/>
                <w:szCs w:val="18"/>
              </w:rPr>
            </w:pPr>
            <w:r>
              <w:rPr>
                <w:sz w:val="18"/>
                <w:szCs w:val="18"/>
              </w:rPr>
              <w:t>E</w:t>
            </w:r>
            <w:r w:rsidR="00454C08">
              <w:rPr>
                <w:sz w:val="18"/>
                <w:szCs w:val="18"/>
              </w:rPr>
              <w:t xml:space="preserve">. </w:t>
            </w:r>
            <w:r w:rsidR="0062747E" w:rsidRPr="0006227B">
              <w:rPr>
                <w:sz w:val="18"/>
                <w:szCs w:val="18"/>
              </w:rPr>
              <w:t>Podpis wierzyciela/osób uprawnionych do jego reprezentowania/pełnomocnika</w:t>
            </w:r>
          </w:p>
        </w:tc>
        <w:tc>
          <w:tcPr>
            <w:tcW w:w="1242" w:type="dxa"/>
            <w:shd w:val="clear" w:color="auto" w:fill="D9D9D9" w:themeFill="background1" w:themeFillShade="D9"/>
          </w:tcPr>
          <w:p w14:paraId="3241C3F9" w14:textId="77777777" w:rsidR="0062747E" w:rsidRPr="0006227B" w:rsidRDefault="005536B2" w:rsidP="00454C08">
            <w:pPr>
              <w:rPr>
                <w:sz w:val="18"/>
                <w:szCs w:val="18"/>
              </w:rPr>
            </w:pPr>
            <w:r>
              <w:rPr>
                <w:sz w:val="18"/>
                <w:szCs w:val="18"/>
              </w:rPr>
              <w:t>F</w:t>
            </w:r>
            <w:r w:rsidR="00454C08">
              <w:rPr>
                <w:sz w:val="18"/>
                <w:szCs w:val="18"/>
              </w:rPr>
              <w:t xml:space="preserve">. </w:t>
            </w:r>
            <w:r w:rsidR="0062747E">
              <w:rPr>
                <w:sz w:val="18"/>
                <w:szCs w:val="18"/>
              </w:rPr>
              <w:t>Data oddania głosu</w:t>
            </w:r>
          </w:p>
        </w:tc>
      </w:tr>
      <w:tr w:rsidR="0062747E" w14:paraId="763674BD" w14:textId="77777777" w:rsidTr="008669B5">
        <w:trPr>
          <w:trHeight w:val="608"/>
        </w:trPr>
        <w:tc>
          <w:tcPr>
            <w:tcW w:w="8085" w:type="dxa"/>
            <w:gridSpan w:val="6"/>
          </w:tcPr>
          <w:p w14:paraId="1F8D9382" w14:textId="77777777" w:rsidR="0062747E" w:rsidRDefault="0062747E" w:rsidP="00E456AB">
            <w:pPr>
              <w:pStyle w:val="Akapitzlist"/>
              <w:rPr>
                <w:sz w:val="18"/>
                <w:szCs w:val="18"/>
              </w:rPr>
            </w:pPr>
          </w:p>
          <w:p w14:paraId="6BA2AF3F" w14:textId="0197AB8F" w:rsidR="00D977C5" w:rsidRDefault="00D977C5" w:rsidP="00E456AB">
            <w:pPr>
              <w:pStyle w:val="Akapitzlist"/>
              <w:rPr>
                <w:sz w:val="18"/>
                <w:szCs w:val="18"/>
              </w:rPr>
            </w:pPr>
          </w:p>
        </w:tc>
        <w:tc>
          <w:tcPr>
            <w:tcW w:w="1242" w:type="dxa"/>
            <w:vAlign w:val="center"/>
          </w:tcPr>
          <w:p w14:paraId="5B2A0609" w14:textId="592DA290" w:rsidR="0062747E" w:rsidRPr="008669B5" w:rsidRDefault="0062747E" w:rsidP="008669B5">
            <w:pPr>
              <w:jc w:val="center"/>
              <w:rPr>
                <w:sz w:val="18"/>
                <w:szCs w:val="18"/>
              </w:rPr>
            </w:pPr>
          </w:p>
        </w:tc>
      </w:tr>
    </w:tbl>
    <w:p w14:paraId="22295EF6" w14:textId="77777777" w:rsidR="00E04C83" w:rsidRDefault="00E04C83" w:rsidP="00454C08">
      <w:pPr>
        <w:spacing w:after="0" w:line="240" w:lineRule="auto"/>
      </w:pPr>
    </w:p>
    <w:p w14:paraId="282CD737" w14:textId="77777777" w:rsidR="00116E6C" w:rsidRDefault="00116E6C" w:rsidP="00454C08">
      <w:pPr>
        <w:spacing w:after="0" w:line="240" w:lineRule="auto"/>
      </w:pPr>
    </w:p>
    <w:p w14:paraId="5B491645" w14:textId="77777777" w:rsidR="00454C08" w:rsidRDefault="00454C08" w:rsidP="00454C08">
      <w:pPr>
        <w:spacing w:after="0" w:line="240" w:lineRule="auto"/>
      </w:pPr>
      <w:r>
        <w:t>POUCZENIA:</w:t>
      </w:r>
    </w:p>
    <w:p w14:paraId="1DE8453D" w14:textId="77777777" w:rsidR="009242DE" w:rsidRPr="009242DE" w:rsidRDefault="007156E8" w:rsidP="009242DE">
      <w:pPr>
        <w:pStyle w:val="Akapitzlist"/>
        <w:numPr>
          <w:ilvl w:val="0"/>
          <w:numId w:val="10"/>
        </w:numPr>
        <w:spacing w:after="0" w:line="240" w:lineRule="auto"/>
        <w:jc w:val="both"/>
        <w:rPr>
          <w:sz w:val="20"/>
          <w:szCs w:val="20"/>
        </w:rPr>
      </w:pPr>
      <w:r>
        <w:rPr>
          <w:sz w:val="18"/>
          <w:szCs w:val="18"/>
        </w:rPr>
        <w:t>W przypadku</w:t>
      </w:r>
      <w:r w:rsidR="009242DE" w:rsidRPr="00F3075B">
        <w:rPr>
          <w:sz w:val="18"/>
          <w:szCs w:val="18"/>
        </w:rPr>
        <w:t xml:space="preserve"> gdy informacje nie mieszczą się w odpowiednich rubrykach, należy je umieścić na kolejnych ponumerowanych kartach formatu A4 ze wskazaniem uzupełnianej rubryki, a jeżeli dokument wypełniany jest elektronicznie – należy dodać niezbędną liczbę wierszy w danej rubryce. </w:t>
      </w:r>
    </w:p>
    <w:p w14:paraId="72B4E569" w14:textId="77777777" w:rsidR="00454C08" w:rsidRPr="00D81A42" w:rsidRDefault="0054759B" w:rsidP="009242DE">
      <w:pPr>
        <w:pStyle w:val="Akapitzlist"/>
        <w:numPr>
          <w:ilvl w:val="0"/>
          <w:numId w:val="10"/>
        </w:numPr>
        <w:spacing w:after="0" w:line="240" w:lineRule="auto"/>
        <w:jc w:val="both"/>
        <w:rPr>
          <w:sz w:val="20"/>
          <w:szCs w:val="20"/>
        </w:rPr>
      </w:pPr>
      <w:r w:rsidRPr="00D81A42">
        <w:rPr>
          <w:sz w:val="20"/>
          <w:szCs w:val="20"/>
        </w:rPr>
        <w:t>Niewypełnione</w:t>
      </w:r>
      <w:r w:rsidR="00454C08" w:rsidRPr="00D81A42">
        <w:rPr>
          <w:sz w:val="20"/>
          <w:szCs w:val="20"/>
        </w:rPr>
        <w:t xml:space="preserve"> pola należy zakreślić.</w:t>
      </w:r>
    </w:p>
    <w:p w14:paraId="20D1EC73" w14:textId="77777777" w:rsidR="00454C08" w:rsidRPr="00D81A42" w:rsidRDefault="00116E6C" w:rsidP="009242DE">
      <w:pPr>
        <w:pStyle w:val="Akapitzlist"/>
        <w:numPr>
          <w:ilvl w:val="0"/>
          <w:numId w:val="10"/>
        </w:numPr>
        <w:spacing w:after="0" w:line="240" w:lineRule="auto"/>
        <w:jc w:val="both"/>
        <w:rPr>
          <w:sz w:val="20"/>
          <w:szCs w:val="20"/>
        </w:rPr>
      </w:pPr>
      <w:r w:rsidRPr="00D81A42">
        <w:rPr>
          <w:sz w:val="20"/>
          <w:szCs w:val="20"/>
        </w:rPr>
        <w:t xml:space="preserve">Kwoty wierzytelności </w:t>
      </w:r>
      <w:r w:rsidR="009A6C12" w:rsidRPr="00D81A42">
        <w:rPr>
          <w:sz w:val="20"/>
          <w:szCs w:val="20"/>
        </w:rPr>
        <w:t>w walucie obcej</w:t>
      </w:r>
      <w:r w:rsidR="000D007E" w:rsidRPr="00D81A42">
        <w:rPr>
          <w:sz w:val="20"/>
          <w:szCs w:val="20"/>
        </w:rPr>
        <w:t>,</w:t>
      </w:r>
      <w:r w:rsidR="009A6C12" w:rsidRPr="00D81A42">
        <w:rPr>
          <w:sz w:val="20"/>
          <w:szCs w:val="20"/>
        </w:rPr>
        <w:t xml:space="preserve"> </w:t>
      </w:r>
      <w:r w:rsidRPr="00D81A42">
        <w:rPr>
          <w:sz w:val="20"/>
          <w:szCs w:val="20"/>
        </w:rPr>
        <w:t>na potrzeby postępowania restruktury</w:t>
      </w:r>
      <w:r w:rsidR="009A6C12" w:rsidRPr="00D81A42">
        <w:rPr>
          <w:sz w:val="20"/>
          <w:szCs w:val="20"/>
        </w:rPr>
        <w:t>zacyjnego</w:t>
      </w:r>
      <w:r w:rsidR="000D007E" w:rsidRPr="00D81A42">
        <w:rPr>
          <w:sz w:val="20"/>
          <w:szCs w:val="20"/>
        </w:rPr>
        <w:t>,</w:t>
      </w:r>
      <w:r w:rsidR="009A6C12" w:rsidRPr="00D81A42">
        <w:rPr>
          <w:sz w:val="20"/>
          <w:szCs w:val="20"/>
        </w:rPr>
        <w:t xml:space="preserve"> podawane są w walucie polskiej po przeliczeniu </w:t>
      </w:r>
      <w:r w:rsidR="000D007E" w:rsidRPr="00D81A42">
        <w:rPr>
          <w:sz w:val="20"/>
          <w:szCs w:val="20"/>
        </w:rPr>
        <w:t xml:space="preserve"> według średniego kursu walut obcych w Narodowym Banku Polskim.</w:t>
      </w:r>
    </w:p>
    <w:p w14:paraId="3068C2A2" w14:textId="77777777" w:rsidR="00D81A42" w:rsidRPr="00D81A42" w:rsidRDefault="007156E8" w:rsidP="009242DE">
      <w:pPr>
        <w:pStyle w:val="Akapitzlist"/>
        <w:numPr>
          <w:ilvl w:val="0"/>
          <w:numId w:val="10"/>
        </w:numPr>
        <w:spacing w:after="0" w:line="240" w:lineRule="auto"/>
        <w:jc w:val="both"/>
        <w:rPr>
          <w:sz w:val="20"/>
          <w:szCs w:val="20"/>
        </w:rPr>
      </w:pPr>
      <w:r>
        <w:rPr>
          <w:sz w:val="20"/>
          <w:szCs w:val="20"/>
        </w:rPr>
        <w:t>W przypadku</w:t>
      </w:r>
      <w:r w:rsidR="00C147D2" w:rsidRPr="00D81A42">
        <w:rPr>
          <w:sz w:val="20"/>
          <w:szCs w:val="20"/>
        </w:rPr>
        <w:t xml:space="preserve"> gdy kartę do głosowania podpisał pełnomocnik, do karty dołącza się pełnomocnictwo. </w:t>
      </w:r>
      <w:r w:rsidR="00D81A42" w:rsidRPr="00D81A42">
        <w:rPr>
          <w:sz w:val="20"/>
          <w:szCs w:val="20"/>
        </w:rPr>
        <w:t>Uprawnienie do podpisania karty do głosowania albo do udzielenia pełnomocnictwa wykazuje się odpisem lub wydrukiem z odpowiedniego rejestru. W przypadku gdy wierzyciel nie dołączył odpisu lub wydruku, dłużnik może pozyskać odpis lub wydruk z odpowiedniego rejestru.</w:t>
      </w:r>
    </w:p>
    <w:p w14:paraId="3DFF85F0" w14:textId="77777777" w:rsidR="00C147D2" w:rsidRPr="00D81A42" w:rsidRDefault="00C147D2" w:rsidP="00D81A42">
      <w:pPr>
        <w:pStyle w:val="Akapitzlist"/>
        <w:spacing w:after="0"/>
        <w:ind w:left="360"/>
        <w:jc w:val="both"/>
        <w:rPr>
          <w:sz w:val="20"/>
          <w:szCs w:val="20"/>
        </w:rPr>
      </w:pPr>
    </w:p>
    <w:sectPr w:rsidR="00C147D2" w:rsidRPr="00D81A42" w:rsidSect="008334D9">
      <w:headerReference w:type="even" r:id="rId11"/>
      <w:headerReference w:type="default" r:id="rId12"/>
      <w:pgSz w:w="11906" w:h="16838"/>
      <w:pgMar w:top="851" w:right="991"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A049" w14:textId="77777777" w:rsidR="00295005" w:rsidRDefault="00295005" w:rsidP="008334D9">
      <w:pPr>
        <w:spacing w:after="0" w:line="240" w:lineRule="auto"/>
      </w:pPr>
      <w:r>
        <w:separator/>
      </w:r>
    </w:p>
  </w:endnote>
  <w:endnote w:type="continuationSeparator" w:id="0">
    <w:p w14:paraId="2E9E2C27" w14:textId="77777777" w:rsidR="00295005" w:rsidRDefault="00295005" w:rsidP="0083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1FD3" w14:textId="77777777" w:rsidR="00295005" w:rsidRDefault="00295005" w:rsidP="008334D9">
      <w:pPr>
        <w:spacing w:after="0" w:line="240" w:lineRule="auto"/>
      </w:pPr>
      <w:r>
        <w:separator/>
      </w:r>
    </w:p>
  </w:footnote>
  <w:footnote w:type="continuationSeparator" w:id="0">
    <w:p w14:paraId="56D902B8" w14:textId="77777777" w:rsidR="00295005" w:rsidRDefault="00295005" w:rsidP="0083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84931"/>
      <w:docPartObj>
        <w:docPartGallery w:val="Page Numbers (Top of Page)"/>
        <w:docPartUnique/>
      </w:docPartObj>
    </w:sdtPr>
    <w:sdtEndPr>
      <w:rPr>
        <w:i/>
      </w:rPr>
    </w:sdtEndPr>
    <w:sdtContent>
      <w:p w14:paraId="0B8E6428" w14:textId="77777777" w:rsidR="008334D9" w:rsidRPr="008334D9" w:rsidRDefault="008334D9">
        <w:pPr>
          <w:pStyle w:val="Nagwek"/>
          <w:jc w:val="right"/>
          <w:rPr>
            <w:i/>
          </w:rPr>
        </w:pPr>
        <w:r w:rsidRPr="008334D9">
          <w:rPr>
            <w:i/>
          </w:rPr>
          <w:t xml:space="preserve"> strona </w:t>
        </w:r>
        <w:r w:rsidRPr="008334D9">
          <w:rPr>
            <w:i/>
          </w:rPr>
          <w:fldChar w:fldCharType="begin"/>
        </w:r>
        <w:r w:rsidRPr="008334D9">
          <w:rPr>
            <w:i/>
          </w:rPr>
          <w:instrText>PAGE   \* MERGEFORMAT</w:instrText>
        </w:r>
        <w:r w:rsidRPr="008334D9">
          <w:rPr>
            <w:i/>
          </w:rPr>
          <w:fldChar w:fldCharType="separate"/>
        </w:r>
        <w:r w:rsidR="00056FDB">
          <w:rPr>
            <w:i/>
            <w:noProof/>
          </w:rPr>
          <w:t>2</w:t>
        </w:r>
        <w:r w:rsidRPr="008334D9">
          <w:rPr>
            <w:i/>
          </w:rPr>
          <w:fldChar w:fldCharType="end"/>
        </w:r>
      </w:p>
    </w:sdtContent>
  </w:sdt>
  <w:p w14:paraId="70A4F79E" w14:textId="77777777" w:rsidR="008334D9" w:rsidRDefault="008334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72250"/>
      <w:docPartObj>
        <w:docPartGallery w:val="Page Numbers (Top of Page)"/>
        <w:docPartUnique/>
      </w:docPartObj>
    </w:sdtPr>
    <w:sdtEndPr>
      <w:rPr>
        <w:i/>
      </w:rPr>
    </w:sdtEndPr>
    <w:sdtContent>
      <w:p w14:paraId="6D845396" w14:textId="77777777" w:rsidR="008334D9" w:rsidRPr="008334D9" w:rsidRDefault="008334D9">
        <w:pPr>
          <w:pStyle w:val="Nagwek"/>
          <w:jc w:val="right"/>
          <w:rPr>
            <w:i/>
          </w:rPr>
        </w:pPr>
        <w:r w:rsidRPr="008334D9">
          <w:rPr>
            <w:i/>
          </w:rPr>
          <w:t xml:space="preserve">strona </w:t>
        </w:r>
        <w:r w:rsidRPr="008334D9">
          <w:rPr>
            <w:i/>
          </w:rPr>
          <w:fldChar w:fldCharType="begin"/>
        </w:r>
        <w:r w:rsidRPr="008334D9">
          <w:rPr>
            <w:i/>
          </w:rPr>
          <w:instrText>PAGE   \* MERGEFORMAT</w:instrText>
        </w:r>
        <w:r w:rsidRPr="008334D9">
          <w:rPr>
            <w:i/>
          </w:rPr>
          <w:fldChar w:fldCharType="separate"/>
        </w:r>
        <w:r w:rsidR="005C2BCA">
          <w:rPr>
            <w:i/>
            <w:noProof/>
          </w:rPr>
          <w:t>3</w:t>
        </w:r>
        <w:r w:rsidRPr="008334D9">
          <w:rPr>
            <w:i/>
          </w:rPr>
          <w:fldChar w:fldCharType="end"/>
        </w:r>
      </w:p>
    </w:sdtContent>
  </w:sdt>
  <w:p w14:paraId="08878274" w14:textId="77777777" w:rsidR="008334D9" w:rsidRDefault="008334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F4B"/>
    <w:multiLevelType w:val="hybridMultilevel"/>
    <w:tmpl w:val="485C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63AF"/>
    <w:multiLevelType w:val="hybridMultilevel"/>
    <w:tmpl w:val="6330B298"/>
    <w:lvl w:ilvl="0" w:tplc="F5E03A8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63001"/>
    <w:multiLevelType w:val="hybridMultilevel"/>
    <w:tmpl w:val="6506E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433736"/>
    <w:multiLevelType w:val="hybridMultilevel"/>
    <w:tmpl w:val="478C3F62"/>
    <w:lvl w:ilvl="0" w:tplc="A748ED7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32764"/>
    <w:multiLevelType w:val="multilevel"/>
    <w:tmpl w:val="A14A0A4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eastAsia="Times New Roman" w:hint="default"/>
        <w:b w:val="0"/>
        <w:bCs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27B90C86"/>
    <w:multiLevelType w:val="hybridMultilevel"/>
    <w:tmpl w:val="6A3AB77C"/>
    <w:lvl w:ilvl="0" w:tplc="13BC7DC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7E826E3"/>
    <w:multiLevelType w:val="hybridMultilevel"/>
    <w:tmpl w:val="22603D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86545"/>
    <w:multiLevelType w:val="hybridMultilevel"/>
    <w:tmpl w:val="04EE9D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542DA"/>
    <w:multiLevelType w:val="hybridMultilevel"/>
    <w:tmpl w:val="14460536"/>
    <w:lvl w:ilvl="0" w:tplc="9F8076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01979"/>
    <w:multiLevelType w:val="hybridMultilevel"/>
    <w:tmpl w:val="689CA3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F1704"/>
    <w:multiLevelType w:val="hybridMultilevel"/>
    <w:tmpl w:val="8D22BDD8"/>
    <w:lvl w:ilvl="0" w:tplc="2384C18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534E8"/>
    <w:multiLevelType w:val="hybridMultilevel"/>
    <w:tmpl w:val="DD3E0C16"/>
    <w:lvl w:ilvl="0" w:tplc="A748ED7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1ACB"/>
    <w:multiLevelType w:val="hybridMultilevel"/>
    <w:tmpl w:val="B3A8A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8F6401"/>
    <w:multiLevelType w:val="hybridMultilevel"/>
    <w:tmpl w:val="570E2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C50D07"/>
    <w:multiLevelType w:val="hybridMultilevel"/>
    <w:tmpl w:val="C5B0A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112D2A"/>
    <w:multiLevelType w:val="hybridMultilevel"/>
    <w:tmpl w:val="0F406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0948CD"/>
    <w:multiLevelType w:val="hybridMultilevel"/>
    <w:tmpl w:val="17BA917C"/>
    <w:lvl w:ilvl="0" w:tplc="047C60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F3C448A"/>
    <w:multiLevelType w:val="hybridMultilevel"/>
    <w:tmpl w:val="494C3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EC13C1"/>
    <w:multiLevelType w:val="hybridMultilevel"/>
    <w:tmpl w:val="BFD01F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4E70F1"/>
    <w:multiLevelType w:val="hybridMultilevel"/>
    <w:tmpl w:val="C06222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54246F"/>
    <w:multiLevelType w:val="hybridMultilevel"/>
    <w:tmpl w:val="EEBE9E62"/>
    <w:lvl w:ilvl="0" w:tplc="A748ED7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E7A08"/>
    <w:multiLevelType w:val="hybridMultilevel"/>
    <w:tmpl w:val="6F34AFD2"/>
    <w:lvl w:ilvl="0" w:tplc="49C22DF4">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CDB2371"/>
    <w:multiLevelType w:val="hybridMultilevel"/>
    <w:tmpl w:val="5380E6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3009707">
    <w:abstractNumId w:val="7"/>
  </w:num>
  <w:num w:numId="2" w16cid:durableId="715349949">
    <w:abstractNumId w:val="16"/>
  </w:num>
  <w:num w:numId="3" w16cid:durableId="2030177464">
    <w:abstractNumId w:val="15"/>
  </w:num>
  <w:num w:numId="4" w16cid:durableId="1776750327">
    <w:abstractNumId w:val="9"/>
  </w:num>
  <w:num w:numId="5" w16cid:durableId="1463961370">
    <w:abstractNumId w:val="0"/>
  </w:num>
  <w:num w:numId="6" w16cid:durableId="495920163">
    <w:abstractNumId w:val="3"/>
  </w:num>
  <w:num w:numId="7" w16cid:durableId="447355795">
    <w:abstractNumId w:val="11"/>
  </w:num>
  <w:num w:numId="8" w16cid:durableId="452090700">
    <w:abstractNumId w:val="20"/>
  </w:num>
  <w:num w:numId="9" w16cid:durableId="299918863">
    <w:abstractNumId w:val="13"/>
  </w:num>
  <w:num w:numId="10" w16cid:durableId="2011253985">
    <w:abstractNumId w:val="12"/>
  </w:num>
  <w:num w:numId="11" w16cid:durableId="1564487472">
    <w:abstractNumId w:val="6"/>
  </w:num>
  <w:num w:numId="12" w16cid:durableId="1786074520">
    <w:abstractNumId w:val="8"/>
  </w:num>
  <w:num w:numId="13" w16cid:durableId="1618947408">
    <w:abstractNumId w:val="21"/>
  </w:num>
  <w:num w:numId="14" w16cid:durableId="397824799">
    <w:abstractNumId w:val="10"/>
  </w:num>
  <w:num w:numId="15" w16cid:durableId="604574748">
    <w:abstractNumId w:val="17"/>
  </w:num>
  <w:num w:numId="16" w16cid:durableId="922955488">
    <w:abstractNumId w:val="22"/>
  </w:num>
  <w:num w:numId="17" w16cid:durableId="74253568">
    <w:abstractNumId w:val="14"/>
  </w:num>
  <w:num w:numId="18" w16cid:durableId="1873301531">
    <w:abstractNumId w:val="4"/>
  </w:num>
  <w:num w:numId="19" w16cid:durableId="1489008534">
    <w:abstractNumId w:val="2"/>
  </w:num>
  <w:num w:numId="20" w16cid:durableId="1989897015">
    <w:abstractNumId w:val="5"/>
  </w:num>
  <w:num w:numId="21" w16cid:durableId="1745565420">
    <w:abstractNumId w:val="1"/>
  </w:num>
  <w:num w:numId="22" w16cid:durableId="2025398650">
    <w:abstractNumId w:val="18"/>
  </w:num>
  <w:num w:numId="23" w16cid:durableId="4088872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13"/>
    <w:rsid w:val="00005072"/>
    <w:rsid w:val="000340A6"/>
    <w:rsid w:val="00050FCC"/>
    <w:rsid w:val="000536B1"/>
    <w:rsid w:val="00054115"/>
    <w:rsid w:val="00056FDB"/>
    <w:rsid w:val="0006227B"/>
    <w:rsid w:val="0007731C"/>
    <w:rsid w:val="000A1A19"/>
    <w:rsid w:val="000D007E"/>
    <w:rsid w:val="000D026C"/>
    <w:rsid w:val="000E22F6"/>
    <w:rsid w:val="000F1FD1"/>
    <w:rsid w:val="00111054"/>
    <w:rsid w:val="0011450C"/>
    <w:rsid w:val="00116E6C"/>
    <w:rsid w:val="00123FCD"/>
    <w:rsid w:val="001363B9"/>
    <w:rsid w:val="00152FEC"/>
    <w:rsid w:val="00154C0B"/>
    <w:rsid w:val="001C6D1D"/>
    <w:rsid w:val="001D00B1"/>
    <w:rsid w:val="001E4F39"/>
    <w:rsid w:val="00234E85"/>
    <w:rsid w:val="00235879"/>
    <w:rsid w:val="00250561"/>
    <w:rsid w:val="00295005"/>
    <w:rsid w:val="002A1C8D"/>
    <w:rsid w:val="002A1DA1"/>
    <w:rsid w:val="002A70BD"/>
    <w:rsid w:val="00310A7F"/>
    <w:rsid w:val="00343389"/>
    <w:rsid w:val="00343808"/>
    <w:rsid w:val="003B0ADA"/>
    <w:rsid w:val="003B37BF"/>
    <w:rsid w:val="003C1279"/>
    <w:rsid w:val="003C601A"/>
    <w:rsid w:val="003D7F27"/>
    <w:rsid w:val="003E29DC"/>
    <w:rsid w:val="003F24E0"/>
    <w:rsid w:val="003F71E1"/>
    <w:rsid w:val="00406DFF"/>
    <w:rsid w:val="004217C2"/>
    <w:rsid w:val="00427319"/>
    <w:rsid w:val="00454C08"/>
    <w:rsid w:val="00477C7E"/>
    <w:rsid w:val="00491354"/>
    <w:rsid w:val="004A696C"/>
    <w:rsid w:val="004C6FCD"/>
    <w:rsid w:val="004F3537"/>
    <w:rsid w:val="005064D5"/>
    <w:rsid w:val="0051769A"/>
    <w:rsid w:val="0054759B"/>
    <w:rsid w:val="005536B2"/>
    <w:rsid w:val="00580913"/>
    <w:rsid w:val="00584698"/>
    <w:rsid w:val="005953D5"/>
    <w:rsid w:val="005C2BCA"/>
    <w:rsid w:val="005C4E61"/>
    <w:rsid w:val="005F1D1E"/>
    <w:rsid w:val="005F2424"/>
    <w:rsid w:val="005F4993"/>
    <w:rsid w:val="0061435F"/>
    <w:rsid w:val="00620E8F"/>
    <w:rsid w:val="0062747E"/>
    <w:rsid w:val="006636C9"/>
    <w:rsid w:val="006715C2"/>
    <w:rsid w:val="00681FC3"/>
    <w:rsid w:val="00696551"/>
    <w:rsid w:val="006A0A32"/>
    <w:rsid w:val="006A5C1B"/>
    <w:rsid w:val="006D4DD6"/>
    <w:rsid w:val="007156E8"/>
    <w:rsid w:val="0072195B"/>
    <w:rsid w:val="007305A6"/>
    <w:rsid w:val="00751EDC"/>
    <w:rsid w:val="007555E6"/>
    <w:rsid w:val="00763982"/>
    <w:rsid w:val="007670BC"/>
    <w:rsid w:val="0078562D"/>
    <w:rsid w:val="007901B9"/>
    <w:rsid w:val="007C0EAA"/>
    <w:rsid w:val="007C143E"/>
    <w:rsid w:val="007C4A49"/>
    <w:rsid w:val="007D6537"/>
    <w:rsid w:val="007E3646"/>
    <w:rsid w:val="007F3B04"/>
    <w:rsid w:val="00801864"/>
    <w:rsid w:val="00806CB4"/>
    <w:rsid w:val="00825981"/>
    <w:rsid w:val="008334D9"/>
    <w:rsid w:val="008669B5"/>
    <w:rsid w:val="00867538"/>
    <w:rsid w:val="00894C45"/>
    <w:rsid w:val="008A4E8C"/>
    <w:rsid w:val="008C610B"/>
    <w:rsid w:val="008F2BFF"/>
    <w:rsid w:val="008F2CE8"/>
    <w:rsid w:val="009030BB"/>
    <w:rsid w:val="009242DE"/>
    <w:rsid w:val="00925DCD"/>
    <w:rsid w:val="00945644"/>
    <w:rsid w:val="00983AED"/>
    <w:rsid w:val="009A1E82"/>
    <w:rsid w:val="009A25CD"/>
    <w:rsid w:val="009A4671"/>
    <w:rsid w:val="009A6C12"/>
    <w:rsid w:val="009D1839"/>
    <w:rsid w:val="009D4794"/>
    <w:rsid w:val="00A60733"/>
    <w:rsid w:val="00A87816"/>
    <w:rsid w:val="00A87B9B"/>
    <w:rsid w:val="00AA7970"/>
    <w:rsid w:val="00AB0E76"/>
    <w:rsid w:val="00AB2A44"/>
    <w:rsid w:val="00AE400D"/>
    <w:rsid w:val="00AE544A"/>
    <w:rsid w:val="00B44E46"/>
    <w:rsid w:val="00B603F6"/>
    <w:rsid w:val="00B77167"/>
    <w:rsid w:val="00B8494A"/>
    <w:rsid w:val="00BC59AE"/>
    <w:rsid w:val="00BF6E62"/>
    <w:rsid w:val="00BF7AC4"/>
    <w:rsid w:val="00C147D2"/>
    <w:rsid w:val="00C222B9"/>
    <w:rsid w:val="00C37057"/>
    <w:rsid w:val="00C547FA"/>
    <w:rsid w:val="00C62740"/>
    <w:rsid w:val="00C66CFA"/>
    <w:rsid w:val="00CA0DCF"/>
    <w:rsid w:val="00CA7463"/>
    <w:rsid w:val="00CE71D2"/>
    <w:rsid w:val="00D04303"/>
    <w:rsid w:val="00D16963"/>
    <w:rsid w:val="00D201C8"/>
    <w:rsid w:val="00D81A42"/>
    <w:rsid w:val="00D97091"/>
    <w:rsid w:val="00D977C5"/>
    <w:rsid w:val="00DA78AA"/>
    <w:rsid w:val="00DF72BB"/>
    <w:rsid w:val="00DF787D"/>
    <w:rsid w:val="00E01BFF"/>
    <w:rsid w:val="00E0362B"/>
    <w:rsid w:val="00E04C83"/>
    <w:rsid w:val="00E317F7"/>
    <w:rsid w:val="00E31AD3"/>
    <w:rsid w:val="00E40CB8"/>
    <w:rsid w:val="00E456AB"/>
    <w:rsid w:val="00E90BF8"/>
    <w:rsid w:val="00EB0B26"/>
    <w:rsid w:val="00EF19C1"/>
    <w:rsid w:val="00EF6BED"/>
    <w:rsid w:val="00F3656C"/>
    <w:rsid w:val="00F43E23"/>
    <w:rsid w:val="00F96512"/>
    <w:rsid w:val="00FB6554"/>
    <w:rsid w:val="00FD0C2D"/>
    <w:rsid w:val="00FE5629"/>
    <w:rsid w:val="00FE7746"/>
    <w:rsid w:val="00FE77D3"/>
    <w:rsid w:val="00FF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7BE8E"/>
  <w15:docId w15:val="{A5EBD034-344B-40BD-A3A9-49F096D9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C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4E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4E85"/>
    <w:rPr>
      <w:rFonts w:ascii="Tahoma" w:hAnsi="Tahoma" w:cs="Tahoma"/>
      <w:sz w:val="16"/>
      <w:szCs w:val="16"/>
    </w:rPr>
  </w:style>
  <w:style w:type="table" w:styleId="Tabela-Siatka">
    <w:name w:val="Table Grid"/>
    <w:basedOn w:val="Standardowy"/>
    <w:uiPriority w:val="59"/>
    <w:rsid w:val="00AB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6554"/>
    <w:pPr>
      <w:ind w:left="720"/>
      <w:contextualSpacing/>
    </w:pPr>
  </w:style>
  <w:style w:type="paragraph" w:styleId="Nagwek">
    <w:name w:val="header"/>
    <w:basedOn w:val="Normalny"/>
    <w:link w:val="NagwekZnak"/>
    <w:uiPriority w:val="99"/>
    <w:unhideWhenUsed/>
    <w:rsid w:val="008334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4D9"/>
  </w:style>
  <w:style w:type="paragraph" w:styleId="Stopka">
    <w:name w:val="footer"/>
    <w:basedOn w:val="Normalny"/>
    <w:link w:val="StopkaZnak"/>
    <w:uiPriority w:val="99"/>
    <w:unhideWhenUsed/>
    <w:rsid w:val="008334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4289">
      <w:bodyDiv w:val="1"/>
      <w:marLeft w:val="0"/>
      <w:marRight w:val="0"/>
      <w:marTop w:val="0"/>
      <w:marBottom w:val="0"/>
      <w:divBdr>
        <w:top w:val="none" w:sz="0" w:space="0" w:color="auto"/>
        <w:left w:val="none" w:sz="0" w:space="0" w:color="auto"/>
        <w:bottom w:val="none" w:sz="0" w:space="0" w:color="auto"/>
        <w:right w:val="none" w:sz="0" w:space="0" w:color="auto"/>
      </w:divBdr>
    </w:div>
    <w:div w:id="630063382">
      <w:bodyDiv w:val="1"/>
      <w:marLeft w:val="0"/>
      <w:marRight w:val="0"/>
      <w:marTop w:val="0"/>
      <w:marBottom w:val="0"/>
      <w:divBdr>
        <w:top w:val="none" w:sz="0" w:space="0" w:color="auto"/>
        <w:left w:val="none" w:sz="0" w:space="0" w:color="auto"/>
        <w:bottom w:val="none" w:sz="0" w:space="0" w:color="auto"/>
        <w:right w:val="none" w:sz="0" w:space="0" w:color="auto"/>
      </w:divBdr>
    </w:div>
    <w:div w:id="1885830723">
      <w:bodyDiv w:val="1"/>
      <w:marLeft w:val="0"/>
      <w:marRight w:val="0"/>
      <w:marTop w:val="0"/>
      <w:marBottom w:val="0"/>
      <w:divBdr>
        <w:top w:val="none" w:sz="0" w:space="0" w:color="auto"/>
        <w:left w:val="none" w:sz="0" w:space="0" w:color="auto"/>
        <w:bottom w:val="none" w:sz="0" w:space="0" w:color="auto"/>
        <w:right w:val="none" w:sz="0" w:space="0" w:color="auto"/>
      </w:divBdr>
    </w:div>
    <w:div w:id="2040741876">
      <w:bodyDiv w:val="1"/>
      <w:marLeft w:val="0"/>
      <w:marRight w:val="0"/>
      <w:marTop w:val="0"/>
      <w:marBottom w:val="0"/>
      <w:divBdr>
        <w:top w:val="none" w:sz="0" w:space="0" w:color="auto"/>
        <w:left w:val="none" w:sz="0" w:space="0" w:color="auto"/>
        <w:bottom w:val="none" w:sz="0" w:space="0" w:color="auto"/>
        <w:right w:val="none" w:sz="0" w:space="0" w:color="auto"/>
      </w:divBdr>
      <w:divsChild>
        <w:div w:id="21227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FED8428E30E0499F2A66870EEA0C72" ma:contentTypeVersion="17" ma:contentTypeDescription="Utwórz nowy dokument." ma:contentTypeScope="" ma:versionID="0bd8550cdcbc3f1b96a83bc7ca7409cf">
  <xsd:schema xmlns:xsd="http://www.w3.org/2001/XMLSchema" xmlns:xs="http://www.w3.org/2001/XMLSchema" xmlns:p="http://schemas.microsoft.com/office/2006/metadata/properties" xmlns:ns2="2aca7e61-2de0-40ea-9a67-8e9e891820c6" xmlns:ns3="d4ebe9a0-5e9e-4302-bef1-0972eb2a2237" targetNamespace="http://schemas.microsoft.com/office/2006/metadata/properties" ma:root="true" ma:fieldsID="63cb1fbdd01693453a5a44c050418727" ns2:_="" ns3:_="">
    <xsd:import namespace="2aca7e61-2de0-40ea-9a67-8e9e891820c6"/>
    <xsd:import namespace="d4ebe9a0-5e9e-4302-bef1-0972eb2a22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7e61-2de0-40ea-9a67-8e9e89182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a" ma:index="20" nillable="true" ma:displayName="data" ma:format="DateOnly" ma:internalName="data">
      <xsd:simpleType>
        <xsd:restriction base="dms:DateTime"/>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91e846fd-797a-42f9-88a1-5fb3de74b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be9a0-5e9e-4302-bef1-0972eb2a223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7b0b5d0c-a599-4c67-8897-2be32181d941}" ma:internalName="TaxCatchAll" ma:showField="CatchAllData" ma:web="d4ebe9a0-5e9e-4302-bef1-0972eb2a22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4ebe9a0-5e9e-4302-bef1-0972eb2a2237" xsi:nil="true"/>
    <lcf76f155ced4ddcb4097134ff3c332f xmlns="2aca7e61-2de0-40ea-9a67-8e9e891820c6">
      <Terms xmlns="http://schemas.microsoft.com/office/infopath/2007/PartnerControls"/>
    </lcf76f155ced4ddcb4097134ff3c332f>
    <data xmlns="2aca7e61-2de0-40ea-9a67-8e9e891820c6" xsi:nil="true"/>
  </documentManagement>
</p:properties>
</file>

<file path=customXml/itemProps1.xml><?xml version="1.0" encoding="utf-8"?>
<ds:datastoreItem xmlns:ds="http://schemas.openxmlformats.org/officeDocument/2006/customXml" ds:itemID="{04F08F49-E848-461E-8750-DFF6B688C7C3}">
  <ds:schemaRefs>
    <ds:schemaRef ds:uri="http://schemas.openxmlformats.org/officeDocument/2006/bibliography"/>
  </ds:schemaRefs>
</ds:datastoreItem>
</file>

<file path=customXml/itemProps2.xml><?xml version="1.0" encoding="utf-8"?>
<ds:datastoreItem xmlns:ds="http://schemas.openxmlformats.org/officeDocument/2006/customXml" ds:itemID="{354FEA38-7FEE-4C88-9890-D153A5D3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7e61-2de0-40ea-9a67-8e9e891820c6"/>
    <ds:schemaRef ds:uri="d4ebe9a0-5e9e-4302-bef1-0972eb2a2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AF0B4-72A8-4D73-BB0A-6EA28B37EA90}">
  <ds:schemaRefs>
    <ds:schemaRef ds:uri="http://schemas.microsoft.com/sharepoint/v3/contenttype/forms"/>
  </ds:schemaRefs>
</ds:datastoreItem>
</file>

<file path=customXml/itemProps4.xml><?xml version="1.0" encoding="utf-8"?>
<ds:datastoreItem xmlns:ds="http://schemas.openxmlformats.org/officeDocument/2006/customXml" ds:itemID="{F6182B07-544C-4D6A-A155-759C145F7993}">
  <ds:schemaRefs>
    <ds:schemaRef ds:uri="http://schemas.microsoft.com/office/2006/metadata/properties"/>
    <ds:schemaRef ds:uri="http://schemas.microsoft.com/office/infopath/2007/PartnerControls"/>
    <ds:schemaRef ds:uri="d4ebe9a0-5e9e-4302-bef1-0972eb2a2237"/>
    <ds:schemaRef ds:uri="2aca7e61-2de0-40ea-9a67-8e9e891820c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2551</Words>
  <Characters>15310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RK FB</cp:lastModifiedBy>
  <cp:revision>8</cp:revision>
  <cp:lastPrinted>2015-12-11T10:48:00Z</cp:lastPrinted>
  <dcterms:created xsi:type="dcterms:W3CDTF">2023-01-18T21:26:00Z</dcterms:created>
  <dcterms:modified xsi:type="dcterms:W3CDTF">2023-01-20T09:08:00Z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0x0101000CFED8428E30E0499F2A66870EEA0C72</vt:lpwstr>
  </property>
</Properties>
</file>