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690A3B7B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690A3B7B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690A3B7B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690A3B7B">
        <w:trPr>
          <w:trHeight w:val="684"/>
        </w:trPr>
        <w:tc>
          <w:tcPr>
            <w:tcW w:w="9327" w:type="dxa"/>
            <w:gridSpan w:val="10"/>
          </w:tcPr>
          <w:p w14:paraId="32E79C5B" w14:textId="77777777" w:rsidR="007F4FD2" w:rsidRDefault="007F4FD2" w:rsidP="004268CE">
            <w:pPr>
              <w:jc w:val="center"/>
              <w:rPr>
                <w:rFonts w:ascii="Arial" w:hAnsi="Arial" w:cs="Arial"/>
                <w:b/>
                <w:bCs/>
              </w:rPr>
            </w:pPr>
            <w:r w:rsidRPr="007F4FD2">
              <w:rPr>
                <w:rFonts w:ascii="Arial" w:hAnsi="Arial" w:cs="Arial"/>
                <w:b/>
                <w:bCs/>
              </w:rPr>
              <w:t>Mariola Gadomska prowadzący działalność gospodarczą pod firmą MG STUDIO FRYZUR MARIOLA GADOMSKA</w:t>
            </w:r>
          </w:p>
          <w:p w14:paraId="47278D7C" w14:textId="1DC77CF4" w:rsidR="00B155BD" w:rsidRPr="0063060A" w:rsidRDefault="004268CE" w:rsidP="004268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E117C">
              <w:rPr>
                <w:rFonts w:ascii="Arial" w:hAnsi="Arial" w:cs="Arial"/>
              </w:rPr>
              <w:t>PESEL:</w:t>
            </w:r>
            <w:r>
              <w:rPr>
                <w:rFonts w:ascii="Arial" w:hAnsi="Arial" w:cs="Arial"/>
              </w:rPr>
              <w:t xml:space="preserve"> </w:t>
            </w:r>
            <w:r w:rsidR="007F4FD2" w:rsidRPr="007F4FD2">
              <w:rPr>
                <w:rFonts w:ascii="Arial" w:hAnsi="Arial" w:cs="Arial"/>
              </w:rPr>
              <w:t>78072719265</w:t>
            </w:r>
            <w:r w:rsidRPr="00DE117C">
              <w:rPr>
                <w:rFonts w:ascii="Arial" w:hAnsi="Arial" w:cs="Arial"/>
              </w:rPr>
              <w:t>, NIP</w:t>
            </w:r>
            <w:r>
              <w:rPr>
                <w:rFonts w:ascii="Arial" w:hAnsi="Arial" w:cs="Arial"/>
              </w:rPr>
              <w:t>:</w:t>
            </w:r>
            <w:r w:rsidR="007F4FD2">
              <w:rPr>
                <w:rFonts w:ascii="Arial" w:hAnsi="Arial" w:cs="Arial"/>
              </w:rPr>
              <w:t xml:space="preserve"> </w:t>
            </w:r>
            <w:r w:rsidR="007F4FD2" w:rsidRPr="007F4FD2">
              <w:rPr>
                <w:rFonts w:ascii="Arial" w:hAnsi="Arial" w:cs="Arial"/>
              </w:rPr>
              <w:t>8221845970</w:t>
            </w:r>
            <w:r>
              <w:rPr>
                <w:rFonts w:ascii="Arial" w:hAnsi="Arial" w:cs="Arial"/>
              </w:rPr>
              <w:t>,</w:t>
            </w:r>
            <w:r w:rsidRPr="00DE117C">
              <w:rPr>
                <w:rFonts w:ascii="Arial" w:hAnsi="Arial" w:cs="Arial"/>
              </w:rPr>
              <w:t xml:space="preserve"> REGON:</w:t>
            </w:r>
            <w:r w:rsidRPr="000268D7">
              <w:rPr>
                <w:rFonts w:ascii="Arial" w:hAnsi="Arial" w:cs="Arial"/>
              </w:rPr>
              <w:t xml:space="preserve"> </w:t>
            </w:r>
            <w:r w:rsidR="007F4FD2">
              <w:rPr>
                <w:rFonts w:ascii="Roboto" w:hAnsi="Roboto"/>
                <w:color w:val="1A1A1A"/>
                <w:sz w:val="23"/>
                <w:szCs w:val="23"/>
                <w:shd w:val="clear" w:color="auto" w:fill="FFFFFF"/>
              </w:rPr>
              <w:t>363806466</w:t>
            </w:r>
            <w:r w:rsidR="00570074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690A3B7B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7AF36243" w:rsidR="00E456AB" w:rsidRPr="00464079" w:rsidRDefault="007F4FD2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</w:t>
            </w:r>
            <w:r w:rsidRPr="007F4FD2">
              <w:rPr>
                <w:rFonts w:ascii="Arial" w:hAnsi="Arial" w:cs="Arial"/>
                <w:b/>
                <w:bCs/>
              </w:rPr>
              <w:t>Aleja Rzeczypospolitej 18/68, 02-972 Warszawa</w:t>
            </w:r>
          </w:p>
        </w:tc>
      </w:tr>
      <w:tr w:rsidR="00E456AB" w14:paraId="038C52C3" w14:textId="77777777" w:rsidTr="690A3B7B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4C25B330" w:rsidR="00E456AB" w:rsidRPr="002479A2" w:rsidRDefault="007F4FD2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</w:t>
            </w:r>
            <w:r w:rsidRPr="007F4FD2">
              <w:rPr>
                <w:rFonts w:ascii="Arial" w:hAnsi="Arial" w:cs="Arial"/>
                <w:b/>
                <w:bCs/>
              </w:rPr>
              <w:t>Aleja Rzeczypospolitej 18/68, 02-972 Warszawa</w:t>
            </w:r>
          </w:p>
        </w:tc>
      </w:tr>
      <w:tr w:rsidR="00E456AB" w14:paraId="43C64779" w14:textId="77777777" w:rsidTr="690A3B7B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690A3B7B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690A3B7B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690A3B7B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690A3B7B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690A3B7B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690A3B7B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690A3B7B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690A3B7B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690A3B7B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6240465F" w:rsidR="00FE4298" w:rsidRPr="00457E61" w:rsidRDefault="00FE4298" w:rsidP="00531C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690A3B7B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690A3B7B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690A3B7B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690A3B7B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56D888D8" w:rsidR="00741A21" w:rsidRPr="00605A8A" w:rsidRDefault="00741A21" w:rsidP="009B240F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690A3B7B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4C06BA9B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690A3B7B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3931BAFA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690A3B7B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690A3B7B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690A3B7B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5A4B0C50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43DEED8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5517F3B4" w:rsidR="0011240F" w:rsidRPr="00CC4B2E" w:rsidRDefault="0011240F" w:rsidP="690A3B7B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</w:tc>
      </w:tr>
      <w:tr w:rsidR="0011240F" w14:paraId="24293E26" w14:textId="77777777" w:rsidTr="690A3B7B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0C2442B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690A3B7B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5AF1CCE5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7937562C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690A3B7B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690A3B7B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90A3B7B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6E1FBF76" w14:textId="70B467C0" w:rsidR="00454C08" w:rsidRPr="003954E6" w:rsidRDefault="00454C08" w:rsidP="00AB5A73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54C08" w14:paraId="49DBF8DE" w14:textId="77777777" w:rsidTr="690A3B7B">
        <w:trPr>
          <w:trHeight w:val="513"/>
        </w:trPr>
        <w:tc>
          <w:tcPr>
            <w:tcW w:w="1242" w:type="dxa"/>
          </w:tcPr>
          <w:p w14:paraId="686A4D87" w14:textId="12ED2985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690A3B7B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późn. zm.)</w:t>
            </w:r>
          </w:p>
        </w:tc>
      </w:tr>
      <w:tr w:rsidR="008A4E8C" w14:paraId="25E35651" w14:textId="77777777" w:rsidTr="690A3B7B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3CA45BC4" w14:textId="77777777" w:rsidR="005267C5" w:rsidRDefault="005267C5" w:rsidP="005267C5">
            <w:pPr>
              <w:pStyle w:val="Akapitzlist"/>
              <w:jc w:val="center"/>
              <w:rPr>
                <w:sz w:val="18"/>
                <w:szCs w:val="18"/>
              </w:rPr>
            </w:pPr>
          </w:p>
          <w:p w14:paraId="3501ECB9" w14:textId="77777777" w:rsidR="008A4E8C" w:rsidRDefault="008A4E8C" w:rsidP="00CB1258">
            <w:pPr>
              <w:pStyle w:val="Akapitzlist"/>
              <w:jc w:val="center"/>
              <w:rPr>
                <w:sz w:val="18"/>
                <w:szCs w:val="18"/>
              </w:rPr>
            </w:pPr>
          </w:p>
        </w:tc>
      </w:tr>
      <w:tr w:rsidR="00454C08" w14:paraId="0E27464A" w14:textId="77777777" w:rsidTr="690A3B7B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690A3B7B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690A3B7B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0F53D8BC" w:rsidR="00454C08" w:rsidRPr="004C76A9" w:rsidRDefault="007F4FD2" w:rsidP="00EC7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F4FD2">
              <w:rPr>
                <w:rFonts w:ascii="Arial" w:hAnsi="Arial" w:cs="Arial"/>
                <w:b/>
                <w:bCs/>
              </w:rPr>
              <w:t>23.10.2023</w:t>
            </w:r>
            <w:r w:rsidR="00E4050B"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E456AB" w14:paraId="099F967D" w14:textId="77777777" w:rsidTr="690A3B7B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690A3B7B">
        <w:trPr>
          <w:trHeight w:val="1125"/>
        </w:trPr>
        <w:tc>
          <w:tcPr>
            <w:tcW w:w="9327" w:type="dxa"/>
            <w:gridSpan w:val="10"/>
          </w:tcPr>
          <w:p w14:paraId="0056CDE9" w14:textId="77777777" w:rsidR="00FE6F58" w:rsidRDefault="00FE6F58" w:rsidP="00FE6F58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Warszawa, dnia 21 grudnia 2023 r.</w:t>
            </w:r>
          </w:p>
          <w:p w14:paraId="17D62482" w14:textId="7B838A1F" w:rsidR="00FE6F58" w:rsidRDefault="00FE6F58" w:rsidP="00FE6F5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E140E6" w14:textId="77777777" w:rsidR="00FE6F58" w:rsidRDefault="00FE6F58" w:rsidP="00FE6F5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PROPOZYCJE UKŁADOWE </w:t>
            </w:r>
          </w:p>
          <w:p w14:paraId="0D43592F" w14:textId="0F64DF90" w:rsidR="00FE6F58" w:rsidRDefault="00FE6F58" w:rsidP="00FE6F5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Mariola Gadomska prowadząca działalność gospodarczą pod firmą MG STUDIO MARIOLA GADOMSKA (NIP: 8221845970)</w:t>
            </w:r>
          </w:p>
          <w:p w14:paraId="5BAD76C6" w14:textId="77777777" w:rsidR="00FE6F58" w:rsidRDefault="00FE6F58" w:rsidP="00FE6F5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BC11E43" w14:textId="634A98F4" w:rsidR="00FE6F58" w:rsidRPr="00FE6F58" w:rsidRDefault="00FE6F58" w:rsidP="00FE6F58">
            <w:pPr>
              <w:pStyle w:val="Default"/>
              <w:numPr>
                <w:ilvl w:val="0"/>
                <w:numId w:val="35"/>
              </w:numPr>
              <w:spacing w:after="169"/>
              <w:jc w:val="center"/>
              <w:rPr>
                <w:sz w:val="22"/>
                <w:szCs w:val="22"/>
                <w:u w:val="single"/>
              </w:rPr>
            </w:pPr>
            <w:r w:rsidRPr="00FE6F58">
              <w:rPr>
                <w:b/>
                <w:bCs/>
                <w:sz w:val="22"/>
                <w:szCs w:val="22"/>
                <w:u w:val="single"/>
              </w:rPr>
              <w:t>A.</w:t>
            </w:r>
            <w:r w:rsidRPr="00FE6F58">
              <w:rPr>
                <w:b/>
                <w:bCs/>
                <w:sz w:val="22"/>
                <w:szCs w:val="22"/>
                <w:u w:val="single"/>
              </w:rPr>
              <w:t>POSTANOWIENIA OGÓLNE</w:t>
            </w:r>
          </w:p>
          <w:p w14:paraId="6AB2E766" w14:textId="5FEDC762" w:rsidR="00FE6F58" w:rsidRDefault="00FE6F58" w:rsidP="00FE6F58">
            <w:pPr>
              <w:pStyle w:val="Default"/>
              <w:numPr>
                <w:ilvl w:val="0"/>
                <w:numId w:val="35"/>
              </w:numPr>
              <w:spacing w:after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Wierzytelności przysługujące wierzycielom będą zaspokajane przez Dłużnika na podstawie postanowień układu w ramach czterech wyodrębnionych Grup. </w:t>
            </w:r>
          </w:p>
          <w:p w14:paraId="6C642605" w14:textId="14D58F79" w:rsidR="00FE6F58" w:rsidRDefault="00FE6F58" w:rsidP="00FE6F58">
            <w:pPr>
              <w:pStyle w:val="Default"/>
              <w:numPr>
                <w:ilvl w:val="0"/>
                <w:numId w:val="35"/>
              </w:numPr>
              <w:spacing w:after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Terminy zapłaty wynikające z układu są zastrzeżone na korzyść Dłużnika. </w:t>
            </w:r>
          </w:p>
          <w:p w14:paraId="59137238" w14:textId="33F338C4" w:rsidR="00FE6F58" w:rsidRDefault="00FE6F58" w:rsidP="00FE6F58">
            <w:pPr>
              <w:pStyle w:val="Default"/>
              <w:numPr>
                <w:ilvl w:val="0"/>
                <w:numId w:val="35"/>
              </w:numPr>
              <w:spacing w:after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ustawy z dnia 15 maja 2015 r. – Prawo restrukturyzacyjne (p.r.). </w:t>
            </w:r>
          </w:p>
          <w:p w14:paraId="5A11B778" w14:textId="33B97AEE" w:rsidR="00FE6F58" w:rsidRDefault="00FE6F58" w:rsidP="00FE6F58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74B84A5C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</w:p>
          <w:p w14:paraId="5D09AE78" w14:textId="7CF06A96" w:rsidR="00FE6F58" w:rsidRPr="00FE6F58" w:rsidRDefault="00FE6F58" w:rsidP="00FE6F58">
            <w:pPr>
              <w:pStyle w:val="Default"/>
              <w:numPr>
                <w:ilvl w:val="0"/>
                <w:numId w:val="36"/>
              </w:numPr>
              <w:jc w:val="center"/>
              <w:rPr>
                <w:sz w:val="22"/>
                <w:szCs w:val="22"/>
                <w:u w:val="single"/>
              </w:rPr>
            </w:pPr>
            <w:r w:rsidRPr="00FE6F58">
              <w:rPr>
                <w:b/>
                <w:bCs/>
                <w:sz w:val="22"/>
                <w:szCs w:val="22"/>
                <w:u w:val="single"/>
              </w:rPr>
              <w:t xml:space="preserve">B. </w:t>
            </w:r>
            <w:r w:rsidRPr="00FE6F58">
              <w:rPr>
                <w:b/>
                <w:bCs/>
                <w:sz w:val="22"/>
                <w:szCs w:val="22"/>
                <w:u w:val="single"/>
              </w:rPr>
              <w:t>POSTANOWIENIA SZCZEGÓLNE</w:t>
            </w:r>
          </w:p>
          <w:p w14:paraId="577725F5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</w:p>
          <w:p w14:paraId="10F80538" w14:textId="2E35E911" w:rsidR="00FE6F58" w:rsidRPr="00FE6F58" w:rsidRDefault="00FE6F58" w:rsidP="00FE6F58">
            <w:pPr>
              <w:pStyle w:val="Default"/>
              <w:jc w:val="center"/>
              <w:rPr>
                <w:sz w:val="22"/>
                <w:szCs w:val="22"/>
                <w:u w:val="single"/>
              </w:rPr>
            </w:pPr>
            <w:r w:rsidRPr="00FE6F58">
              <w:rPr>
                <w:b/>
                <w:bCs/>
                <w:sz w:val="22"/>
                <w:szCs w:val="22"/>
                <w:u w:val="single"/>
              </w:rPr>
              <w:t>Grupa I</w:t>
            </w:r>
          </w:p>
          <w:p w14:paraId="15ECE753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Opis Grupy: </w:t>
            </w:r>
          </w:p>
          <w:p w14:paraId="3C73148C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Wierzytelności przysługujące wierzycielom – bankom, w przypadku, gdy suma wierzytelności danego wierzyciela jest wyższa niż 300 000 zł (trzysta tysięcy złotych), oraz wierzytelności przypadające wierzycielom-gwarantom w wysokości, w jakiej zaspokoili oni wierzycieli z tytułu tych umów. </w:t>
            </w:r>
          </w:p>
          <w:p w14:paraId="2087DF27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</w:p>
          <w:p w14:paraId="25E81DF2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Propozycja spłaty: </w:t>
            </w:r>
          </w:p>
          <w:p w14:paraId="54D193A5" w14:textId="77777777" w:rsidR="00FE6F58" w:rsidRDefault="00FE6F58" w:rsidP="00FE6F58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 xml:space="preserve">Spłata </w:t>
            </w:r>
            <w:r>
              <w:rPr>
                <w:b/>
                <w:bCs/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</w:rPr>
              <w:t xml:space="preserve">wierzytelności głównej (kapitału). </w:t>
            </w:r>
          </w:p>
          <w:p w14:paraId="071A0CC4" w14:textId="77777777" w:rsidR="00FE6F58" w:rsidRDefault="00FE6F58" w:rsidP="00FE6F58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 xml:space="preserve">Spłata </w:t>
            </w:r>
            <w:r>
              <w:rPr>
                <w:b/>
                <w:bCs/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</w:rPr>
              <w:t xml:space="preserve">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 </w:t>
            </w:r>
          </w:p>
          <w:p w14:paraId="0D687D4B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>
              <w:rPr>
                <w:b/>
                <w:bCs/>
                <w:sz w:val="22"/>
                <w:szCs w:val="22"/>
              </w:rPr>
              <w:t xml:space="preserve">WIBOR3M+2,5% </w:t>
            </w:r>
            <w:r>
              <w:rPr>
                <w:sz w:val="22"/>
                <w:szCs w:val="22"/>
              </w:rPr>
              <w:t xml:space="preserve">w skali roku, liczonych od dnia uprawomocnienia się postanowienia o zatwierdzenie układu. </w:t>
            </w:r>
          </w:p>
          <w:p w14:paraId="7C9B61A9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</w:p>
          <w:p w14:paraId="6FFE922B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Tryb zaspokojenia: </w:t>
            </w:r>
          </w:p>
          <w:p w14:paraId="143A6C8B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Spłata nastąpi w </w:t>
            </w:r>
            <w:r>
              <w:rPr>
                <w:b/>
                <w:bCs/>
                <w:sz w:val="22"/>
                <w:szCs w:val="22"/>
              </w:rPr>
              <w:t xml:space="preserve">96 </w:t>
            </w:r>
            <w:r>
              <w:rPr>
                <w:sz w:val="22"/>
                <w:szCs w:val="22"/>
              </w:rPr>
              <w:t xml:space="preserve">równych miesięcznych ratach (rata annuitetowa) zgodnie z propozycją spłaty, płatnych na koniec każdego miesiąca, przy czym pierwsza rata będzie płatna na koniec miesiąca następującego po upływie 2 (dwóch) miesięcy od dnia uprawomocnienia się postanowienia o zatwierdzeniu układu. </w:t>
            </w:r>
          </w:p>
          <w:p w14:paraId="6D031F8B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</w:p>
          <w:p w14:paraId="2062B9C9" w14:textId="2BDDFBAD" w:rsidR="00FE6F58" w:rsidRPr="00FE6F58" w:rsidRDefault="00FE6F58" w:rsidP="00FE6F58">
            <w:pPr>
              <w:pStyle w:val="Default"/>
              <w:pageBreakBefore/>
              <w:jc w:val="center"/>
              <w:rPr>
                <w:sz w:val="22"/>
                <w:szCs w:val="22"/>
                <w:u w:val="single"/>
              </w:rPr>
            </w:pPr>
            <w:r w:rsidRPr="00FE6F58">
              <w:rPr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067E0AB9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Opis Grupy: </w:t>
            </w:r>
          </w:p>
          <w:p w14:paraId="2C6DFF40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Wierzytelności przysługujące wierzycielom – bankom, w przypadku, gdy suma wierzytelności danego wierzyciela jest nie wyższa niż 300 000 zł (trzysta tysięcy złotych), oraz wierzytelności przypadające wierzycielom-gwarantom w wysokości, w jakiej zaspokoili oni wierzycieli z tytułu tych umów. </w:t>
            </w:r>
          </w:p>
          <w:p w14:paraId="51657C2E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</w:p>
          <w:p w14:paraId="12E5FBE4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Propozycja spłaty: </w:t>
            </w:r>
          </w:p>
          <w:p w14:paraId="1BFD11CD" w14:textId="77777777" w:rsidR="00FE6F58" w:rsidRDefault="00FE6F58" w:rsidP="00FE6F58">
            <w:pPr>
              <w:pStyle w:val="Default"/>
              <w:spacing w:after="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 xml:space="preserve">Spłata </w:t>
            </w:r>
            <w:r>
              <w:rPr>
                <w:b/>
                <w:bCs/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</w:rPr>
              <w:t xml:space="preserve">wierzytelności głównej (kapitału). </w:t>
            </w:r>
          </w:p>
          <w:p w14:paraId="56A0B33F" w14:textId="77777777" w:rsidR="00FE6F58" w:rsidRDefault="00FE6F58" w:rsidP="00FE6F58">
            <w:pPr>
              <w:pStyle w:val="Default"/>
              <w:spacing w:after="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 xml:space="preserve">Umorzenie </w:t>
            </w:r>
            <w:r>
              <w:rPr>
                <w:b/>
                <w:bCs/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</w:rPr>
              <w:t xml:space="preserve">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 </w:t>
            </w:r>
          </w:p>
          <w:p w14:paraId="6E09668E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>
              <w:rPr>
                <w:b/>
                <w:bCs/>
                <w:sz w:val="22"/>
                <w:szCs w:val="22"/>
              </w:rPr>
              <w:t xml:space="preserve">2,5% </w:t>
            </w:r>
            <w:r>
              <w:rPr>
                <w:sz w:val="22"/>
                <w:szCs w:val="22"/>
              </w:rPr>
              <w:t xml:space="preserve">w skali roku, liczonych od dnia uprawomocnienia się postanowienia o zatwierdzenie układu. </w:t>
            </w:r>
          </w:p>
          <w:p w14:paraId="79B03A49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</w:p>
          <w:p w14:paraId="78B90784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Tryb zaspokojenia: </w:t>
            </w:r>
          </w:p>
          <w:p w14:paraId="6D623CAD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Spłata nastąpi w </w:t>
            </w:r>
            <w:r>
              <w:rPr>
                <w:b/>
                <w:bCs/>
                <w:sz w:val="22"/>
                <w:szCs w:val="22"/>
              </w:rPr>
              <w:t xml:space="preserve">108 </w:t>
            </w:r>
            <w:r>
              <w:rPr>
                <w:sz w:val="22"/>
                <w:szCs w:val="22"/>
              </w:rPr>
              <w:t xml:space="preserve">równych miesięcznych ratach (rata annuitetowa) zgodnie z propozycją spłaty, płatnych na koniec każdego miesiąca, przy czym pierwsza rata będzie płatna na koniec miesiąca następującego po upływie 2 (dwóch) miesięcy od dnia uprawomocnienia się postanowienia o zatwierdzeniu układu. </w:t>
            </w:r>
          </w:p>
          <w:p w14:paraId="38605909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</w:p>
          <w:p w14:paraId="6CBE9E13" w14:textId="63447214" w:rsidR="00FE6F58" w:rsidRDefault="00FE6F58" w:rsidP="00FE6F58">
            <w:pPr>
              <w:pStyle w:val="Default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FE6F58">
              <w:rPr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53267B01" w14:textId="77777777" w:rsidR="00FE6F58" w:rsidRPr="00FE6F58" w:rsidRDefault="00FE6F58" w:rsidP="00FE6F58">
            <w:pPr>
              <w:pStyle w:val="Default"/>
              <w:jc w:val="center"/>
              <w:rPr>
                <w:sz w:val="22"/>
                <w:szCs w:val="22"/>
                <w:u w:val="single"/>
              </w:rPr>
            </w:pPr>
          </w:p>
          <w:p w14:paraId="67C32806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Opis Grupy: </w:t>
            </w:r>
          </w:p>
          <w:p w14:paraId="44E36863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Pozostali wierzyciele nieujęcie w innych grupach. </w:t>
            </w:r>
          </w:p>
          <w:p w14:paraId="52D35B12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</w:p>
          <w:p w14:paraId="6328819E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Propozycja spłaty: </w:t>
            </w:r>
          </w:p>
          <w:p w14:paraId="24017A91" w14:textId="77777777" w:rsidR="00FE6F58" w:rsidRDefault="00FE6F58" w:rsidP="00FE6F58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 xml:space="preserve">Spłata </w:t>
            </w:r>
            <w:r>
              <w:rPr>
                <w:b/>
                <w:bCs/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</w:rPr>
              <w:t xml:space="preserve">wierzytelności głównej (kapitału). </w:t>
            </w:r>
          </w:p>
          <w:p w14:paraId="67C7E34A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 xml:space="preserve">Umorzenie </w:t>
            </w:r>
            <w:r>
              <w:rPr>
                <w:b/>
                <w:bCs/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</w:rPr>
              <w:t xml:space="preserve">wierzytelności ubocznych, w szczególności odsetek umownych, odsetek ustawowych, odsetek ustawowych za opóźnienie, a także kosztów dochodzenia wierzytelności, powstałych przed dniem układowym, jak i od dnia układowego. </w:t>
            </w:r>
          </w:p>
          <w:p w14:paraId="7A678D2F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</w:p>
          <w:p w14:paraId="71A03537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Tryb zaspokojenia: </w:t>
            </w:r>
          </w:p>
          <w:p w14:paraId="2A26639C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Spłata nastąpi w </w:t>
            </w:r>
            <w:r>
              <w:rPr>
                <w:b/>
                <w:bCs/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 xml:space="preserve">równych miesięcznych ratach zgodnie z propozycją spłaty, płatnych na koniec każdego miesiąca, przy czym pierwsza rata będzie płatna na koniec miesiąca następującego po upływie 2 (dwóch) miesięcy od dnia uprawomocnienia się postanowienia o zatwierdzeniu układu. </w:t>
            </w:r>
          </w:p>
          <w:p w14:paraId="38D26592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</w:p>
          <w:p w14:paraId="1DC82F6A" w14:textId="7A8F644F" w:rsidR="00FE6F58" w:rsidRPr="00FE6F58" w:rsidRDefault="00FE6F58" w:rsidP="00FE6F58">
            <w:pPr>
              <w:pStyle w:val="Default"/>
              <w:pageBreakBefore/>
              <w:jc w:val="center"/>
              <w:rPr>
                <w:sz w:val="22"/>
                <w:szCs w:val="22"/>
                <w:u w:val="single"/>
              </w:rPr>
            </w:pPr>
            <w:r w:rsidRPr="00FE6F58">
              <w:rPr>
                <w:b/>
                <w:bCs/>
                <w:sz w:val="22"/>
                <w:szCs w:val="22"/>
                <w:u w:val="single"/>
              </w:rPr>
              <w:t>Grupa IV</w:t>
            </w:r>
          </w:p>
          <w:p w14:paraId="23CFC3E3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Opis Grupy: </w:t>
            </w:r>
          </w:p>
          <w:p w14:paraId="749A8ECA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Wierzytelności przysługujące wierzycielom posiadającym zabezpieczenie rzeczowe ustanowione na majątku Dłużnika, w części w jakiej znajdują pokrycie w wartości przedmiotu zabezpieczenia, w przypadku wyrażenia zgody na objęcie układem. </w:t>
            </w:r>
          </w:p>
          <w:p w14:paraId="532C96A7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</w:p>
          <w:p w14:paraId="6864C57B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Propozycja spłaty: </w:t>
            </w:r>
          </w:p>
          <w:p w14:paraId="7CF8E150" w14:textId="77777777" w:rsidR="00FE6F58" w:rsidRDefault="00FE6F58" w:rsidP="00FE6F58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 xml:space="preserve">Spłata </w:t>
            </w:r>
            <w:r>
              <w:rPr>
                <w:b/>
                <w:bCs/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</w:rPr>
              <w:t xml:space="preserve">wierzytelności głównej (kapitału). </w:t>
            </w:r>
          </w:p>
          <w:p w14:paraId="72E8ADE6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 xml:space="preserve">Umorzenie </w:t>
            </w:r>
            <w:r>
              <w:rPr>
                <w:b/>
                <w:bCs/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</w:rPr>
              <w:t xml:space="preserve">wierzytelności ubocznych, w szczególności odsetek umownych, odsetek ustawowych, odsetek ustawowych za opóźnienie, a także kosztów dochodzenia wierzytelności, powstałych przed dniem układowym, jak i od dnia układowego. </w:t>
            </w:r>
          </w:p>
          <w:p w14:paraId="19728020" w14:textId="77777777" w:rsidR="00FE6F58" w:rsidRDefault="00FE6F58" w:rsidP="00FE6F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Tryb zaspokojenia: </w:t>
            </w:r>
          </w:p>
          <w:p w14:paraId="4A5CECD0" w14:textId="58AA011F" w:rsidR="00623275" w:rsidRPr="00FE6F58" w:rsidRDefault="00FE6F58" w:rsidP="00FE6F5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E6F58">
              <w:rPr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FE6F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120 </w:t>
            </w:r>
            <w:r w:rsidRPr="00FE6F58">
              <w:rPr>
                <w:rFonts w:ascii="Arial" w:hAnsi="Arial" w:cs="Arial"/>
                <w:sz w:val="22"/>
                <w:szCs w:val="22"/>
              </w:rPr>
              <w:t>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E456AB" w14:paraId="42DBE3D5" w14:textId="77777777" w:rsidTr="690A3B7B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690A3B7B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690A3B7B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690A3B7B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690A3B7B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690A3B7B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690A3B7B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690A3B7B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13E1" w14:textId="77777777" w:rsidR="00471906" w:rsidRDefault="00471906" w:rsidP="008334D9">
      <w:pPr>
        <w:spacing w:after="0" w:line="240" w:lineRule="auto"/>
      </w:pPr>
      <w:r>
        <w:separator/>
      </w:r>
    </w:p>
  </w:endnote>
  <w:endnote w:type="continuationSeparator" w:id="0">
    <w:p w14:paraId="4113020F" w14:textId="77777777" w:rsidR="00471906" w:rsidRDefault="00471906" w:rsidP="008334D9">
      <w:pPr>
        <w:spacing w:after="0" w:line="240" w:lineRule="auto"/>
      </w:pPr>
      <w:r>
        <w:continuationSeparator/>
      </w:r>
    </w:p>
  </w:endnote>
  <w:endnote w:type="continuationNotice" w:id="1">
    <w:p w14:paraId="4B85717F" w14:textId="77777777" w:rsidR="00471906" w:rsidRDefault="004719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166D" w14:textId="77777777" w:rsidR="00471906" w:rsidRDefault="00471906" w:rsidP="008334D9">
      <w:pPr>
        <w:spacing w:after="0" w:line="240" w:lineRule="auto"/>
      </w:pPr>
      <w:r>
        <w:separator/>
      </w:r>
    </w:p>
  </w:footnote>
  <w:footnote w:type="continuationSeparator" w:id="0">
    <w:p w14:paraId="158BC1A5" w14:textId="77777777" w:rsidR="00471906" w:rsidRDefault="00471906" w:rsidP="008334D9">
      <w:pPr>
        <w:spacing w:after="0" w:line="240" w:lineRule="auto"/>
      </w:pPr>
      <w:r>
        <w:continuationSeparator/>
      </w:r>
    </w:p>
  </w:footnote>
  <w:footnote w:type="continuationNotice" w:id="1">
    <w:p w14:paraId="1EAA8A92" w14:textId="77777777" w:rsidR="00471906" w:rsidRDefault="004719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8EE218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3AADD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4"/>
  </w:num>
  <w:num w:numId="2" w16cid:durableId="1589343206">
    <w:abstractNumId w:val="28"/>
  </w:num>
  <w:num w:numId="3" w16cid:durableId="1266841073">
    <w:abstractNumId w:val="20"/>
  </w:num>
  <w:num w:numId="4" w16cid:durableId="41759834">
    <w:abstractNumId w:val="33"/>
  </w:num>
  <w:num w:numId="5" w16cid:durableId="669798671">
    <w:abstractNumId w:val="1"/>
  </w:num>
  <w:num w:numId="6" w16cid:durableId="1849363787">
    <w:abstractNumId w:val="12"/>
  </w:num>
  <w:num w:numId="7" w16cid:durableId="427426947">
    <w:abstractNumId w:val="3"/>
  </w:num>
  <w:num w:numId="8" w16cid:durableId="615138535">
    <w:abstractNumId w:val="21"/>
  </w:num>
  <w:num w:numId="9" w16cid:durableId="373192606">
    <w:abstractNumId w:val="27"/>
  </w:num>
  <w:num w:numId="10" w16cid:durableId="762260020">
    <w:abstractNumId w:val="29"/>
  </w:num>
  <w:num w:numId="11" w16cid:durableId="1135635790">
    <w:abstractNumId w:val="6"/>
  </w:num>
  <w:num w:numId="12" w16cid:durableId="671955346">
    <w:abstractNumId w:val="32"/>
  </w:num>
  <w:num w:numId="13" w16cid:durableId="1587037058">
    <w:abstractNumId w:val="9"/>
  </w:num>
  <w:num w:numId="14" w16cid:durableId="621039893">
    <w:abstractNumId w:val="4"/>
  </w:num>
  <w:num w:numId="15" w16cid:durableId="1281188215">
    <w:abstractNumId w:val="16"/>
  </w:num>
  <w:num w:numId="16" w16cid:durableId="1665008085">
    <w:abstractNumId w:val="26"/>
  </w:num>
  <w:num w:numId="17" w16cid:durableId="107744071">
    <w:abstractNumId w:val="2"/>
  </w:num>
  <w:num w:numId="18" w16cid:durableId="1627852298">
    <w:abstractNumId w:val="8"/>
  </w:num>
  <w:num w:numId="19" w16cid:durableId="1041326864">
    <w:abstractNumId w:val="30"/>
  </w:num>
  <w:num w:numId="20" w16cid:durableId="382022630">
    <w:abstractNumId w:val="34"/>
  </w:num>
  <w:num w:numId="21" w16cid:durableId="1205290706">
    <w:abstractNumId w:val="5"/>
  </w:num>
  <w:num w:numId="22" w16cid:durableId="844713246">
    <w:abstractNumId w:val="23"/>
  </w:num>
  <w:num w:numId="23" w16cid:durableId="1159079290">
    <w:abstractNumId w:val="18"/>
  </w:num>
  <w:num w:numId="24" w16cid:durableId="4444274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1"/>
  </w:num>
  <w:num w:numId="26" w16cid:durableId="1754010918">
    <w:abstractNumId w:val="10"/>
  </w:num>
  <w:num w:numId="27" w16cid:durableId="154496112">
    <w:abstractNumId w:val="7"/>
  </w:num>
  <w:num w:numId="28" w16cid:durableId="1641152598">
    <w:abstractNumId w:val="15"/>
  </w:num>
  <w:num w:numId="29" w16cid:durableId="158621981">
    <w:abstractNumId w:val="22"/>
  </w:num>
  <w:num w:numId="30" w16cid:durableId="1894926900">
    <w:abstractNumId w:val="11"/>
  </w:num>
  <w:num w:numId="31" w16cid:durableId="1858381">
    <w:abstractNumId w:val="13"/>
  </w:num>
  <w:num w:numId="32" w16cid:durableId="1418594453">
    <w:abstractNumId w:val="24"/>
  </w:num>
  <w:num w:numId="33" w16cid:durableId="1468428006">
    <w:abstractNumId w:val="17"/>
  </w:num>
  <w:num w:numId="34" w16cid:durableId="556161351">
    <w:abstractNumId w:val="19"/>
  </w:num>
  <w:num w:numId="35" w16cid:durableId="989287613">
    <w:abstractNumId w:val="0"/>
  </w:num>
  <w:num w:numId="36" w16cid:durableId="482042049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B4D2B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962CF"/>
    <w:rsid w:val="001A0E7B"/>
    <w:rsid w:val="001A6B47"/>
    <w:rsid w:val="001C134B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5DB9"/>
    <w:rsid w:val="00217834"/>
    <w:rsid w:val="0023361A"/>
    <w:rsid w:val="002346D8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4D5C"/>
    <w:rsid w:val="002967B5"/>
    <w:rsid w:val="002A1DA1"/>
    <w:rsid w:val="002A6CDE"/>
    <w:rsid w:val="002A70BD"/>
    <w:rsid w:val="00310A7F"/>
    <w:rsid w:val="00313124"/>
    <w:rsid w:val="0032064E"/>
    <w:rsid w:val="0032676A"/>
    <w:rsid w:val="00335DFF"/>
    <w:rsid w:val="00343389"/>
    <w:rsid w:val="00343808"/>
    <w:rsid w:val="00344CA8"/>
    <w:rsid w:val="003954E6"/>
    <w:rsid w:val="003A468F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68CE"/>
    <w:rsid w:val="00427319"/>
    <w:rsid w:val="00454C08"/>
    <w:rsid w:val="0045500C"/>
    <w:rsid w:val="00457E61"/>
    <w:rsid w:val="00460D55"/>
    <w:rsid w:val="00464079"/>
    <w:rsid w:val="00464316"/>
    <w:rsid w:val="0047049A"/>
    <w:rsid w:val="00471906"/>
    <w:rsid w:val="00477C7E"/>
    <w:rsid w:val="00481293"/>
    <w:rsid w:val="00484612"/>
    <w:rsid w:val="004874B5"/>
    <w:rsid w:val="00491354"/>
    <w:rsid w:val="004914B3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4F9A"/>
    <w:rsid w:val="005064D5"/>
    <w:rsid w:val="00506C25"/>
    <w:rsid w:val="0051769A"/>
    <w:rsid w:val="0052257D"/>
    <w:rsid w:val="005239D8"/>
    <w:rsid w:val="005267C5"/>
    <w:rsid w:val="00531C07"/>
    <w:rsid w:val="0054523A"/>
    <w:rsid w:val="00546478"/>
    <w:rsid w:val="0054759B"/>
    <w:rsid w:val="005536B2"/>
    <w:rsid w:val="00562D66"/>
    <w:rsid w:val="00570074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D79CD"/>
    <w:rsid w:val="005F1D1E"/>
    <w:rsid w:val="005F2153"/>
    <w:rsid w:val="005F2424"/>
    <w:rsid w:val="005F4993"/>
    <w:rsid w:val="00605A8A"/>
    <w:rsid w:val="00606A00"/>
    <w:rsid w:val="00623275"/>
    <w:rsid w:val="0062747E"/>
    <w:rsid w:val="0063060A"/>
    <w:rsid w:val="006401EB"/>
    <w:rsid w:val="006510D0"/>
    <w:rsid w:val="00653A66"/>
    <w:rsid w:val="00660070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6AF1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284A"/>
    <w:rsid w:val="007E3646"/>
    <w:rsid w:val="007F3B04"/>
    <w:rsid w:val="007F4FD2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4B7D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0258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0434F"/>
    <w:rsid w:val="00A12EA1"/>
    <w:rsid w:val="00A15E7C"/>
    <w:rsid w:val="00A217BB"/>
    <w:rsid w:val="00A25B4E"/>
    <w:rsid w:val="00A30B88"/>
    <w:rsid w:val="00A32296"/>
    <w:rsid w:val="00A3670D"/>
    <w:rsid w:val="00A36BDB"/>
    <w:rsid w:val="00A4468D"/>
    <w:rsid w:val="00A60733"/>
    <w:rsid w:val="00A66142"/>
    <w:rsid w:val="00A71811"/>
    <w:rsid w:val="00A72974"/>
    <w:rsid w:val="00A750F3"/>
    <w:rsid w:val="00A87816"/>
    <w:rsid w:val="00A87B9B"/>
    <w:rsid w:val="00A91731"/>
    <w:rsid w:val="00AA7970"/>
    <w:rsid w:val="00AB0E76"/>
    <w:rsid w:val="00AB20F2"/>
    <w:rsid w:val="00AB2A44"/>
    <w:rsid w:val="00AB5A73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30F7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B1258"/>
    <w:rsid w:val="00CC4B2E"/>
    <w:rsid w:val="00CC62BA"/>
    <w:rsid w:val="00CD25FE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83CDD"/>
    <w:rsid w:val="00D9427F"/>
    <w:rsid w:val="00D95F57"/>
    <w:rsid w:val="00D97091"/>
    <w:rsid w:val="00DA41BF"/>
    <w:rsid w:val="00DA78AA"/>
    <w:rsid w:val="00DB109E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26DCE"/>
    <w:rsid w:val="00E317F7"/>
    <w:rsid w:val="00E4050B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C7033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0719"/>
    <w:rsid w:val="00FC7B39"/>
    <w:rsid w:val="00FD0C2D"/>
    <w:rsid w:val="00FD3B97"/>
    <w:rsid w:val="00FE4298"/>
    <w:rsid w:val="00FE5329"/>
    <w:rsid w:val="00FE5CCD"/>
    <w:rsid w:val="00FE6F58"/>
    <w:rsid w:val="00FE7746"/>
    <w:rsid w:val="00FE77D3"/>
    <w:rsid w:val="00FF4F13"/>
    <w:rsid w:val="00FF7158"/>
    <w:rsid w:val="1E9DF4E3"/>
    <w:rsid w:val="5699CB77"/>
    <w:rsid w:val="61CD1CAF"/>
    <w:rsid w:val="690A3B7B"/>
    <w:rsid w:val="7F6DC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  <w:style w:type="paragraph" w:customStyle="1" w:styleId="Default">
    <w:name w:val="Default"/>
    <w:rsid w:val="00FE6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9" ma:contentTypeDescription="Utwórz nowy dokument." ma:contentTypeScope="" ma:versionID="f617a0824aec092064d16a33c73509c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1bb11711a9582ea5b1dc97722048c1f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FDB31-67BC-4C49-B20F-11C9776A40E3}"/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1176</Words>
  <Characters>7062</Characters>
  <Application>Microsoft Office Word</Application>
  <DocSecurity>0</DocSecurity>
  <Lines>58</Lines>
  <Paragraphs>16</Paragraphs>
  <ScaleCrop>false</ScaleCrop>
  <Company>MS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Aleksandra Forgel</cp:lastModifiedBy>
  <cp:revision>4</cp:revision>
  <cp:lastPrinted>2015-12-11T10:48:00Z</cp:lastPrinted>
  <dcterms:created xsi:type="dcterms:W3CDTF">2023-12-22T14:43:00Z</dcterms:created>
  <dcterms:modified xsi:type="dcterms:W3CDTF">2024-01-10T13:57:00Z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