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19DA0D8B" w14:textId="77777777" w:rsidR="0082492D" w:rsidRDefault="0082492D" w:rsidP="008249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Tomasz Zięć</w:t>
            </w:r>
            <w:r w:rsidRPr="00DE117C">
              <w:rPr>
                <w:rFonts w:ascii="Arial" w:hAnsi="Arial" w:cs="Arial"/>
                <w:b/>
                <w:bCs/>
              </w:rPr>
              <w:t xml:space="preserve"> prowadząc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>
              <w:rPr>
                <w:rFonts w:ascii="Arial" w:hAnsi="Arial" w:cs="Arial"/>
                <w:b/>
                <w:bCs/>
              </w:rPr>
              <w:t>firmą DRD SYSTEM Tomasz Zięć</w:t>
            </w:r>
          </w:p>
          <w:p w14:paraId="47278D7C" w14:textId="5D4643BE" w:rsidR="00B155BD" w:rsidRPr="0063060A" w:rsidRDefault="0082492D" w:rsidP="008249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E117C">
              <w:rPr>
                <w:rFonts w:ascii="Arial" w:hAnsi="Arial" w:cs="Arial"/>
              </w:rPr>
              <w:t>PESEL:</w:t>
            </w:r>
            <w:r>
              <w:rPr>
                <w:rFonts w:ascii="Arial" w:hAnsi="Arial" w:cs="Arial"/>
              </w:rPr>
              <w:t xml:space="preserve"> 78061303916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 8842515329,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243680535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9FA38BE" w:rsidR="00E456AB" w:rsidRPr="00464079" w:rsidRDefault="0082492D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1 Maja 238, 41-710 Ruda Śląska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7DEDC61" w:rsidR="00E456AB" w:rsidRPr="002479A2" w:rsidRDefault="0082492D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1 Maja 238, 41-710 Ruda Śląska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41041207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54347746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7BD0A55F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0E6531C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3C3BA06C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39ED003B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5B32D03E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C227EB5" w14:textId="77777777" w:rsidR="009B240F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E31B0" w14:textId="77777777" w:rsidR="0065258E" w:rsidRDefault="0065258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2263A06D" w:rsidR="0065258E" w:rsidRPr="00CC4B2E" w:rsidRDefault="0065258E" w:rsidP="006525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10C62612" w:rsidR="00F42C9D" w:rsidRPr="00CC4B2E" w:rsidRDefault="00F42C9D" w:rsidP="00F4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4E6B816C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1CA399" w14:textId="39A53FD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E708629" w14:textId="5D910D9E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DD7BC2C" w14:textId="579FE619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F42C9D" w14:paraId="741EB46E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95CB2CB" w14:textId="60DD06F5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43F489" w14:textId="4E26E3EC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E08D6A1" w14:textId="77777777" w:rsidR="00F42C9D" w:rsidRDefault="00F42C9D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2018139A" w:rsidR="00454C08" w:rsidRPr="004C76A9" w:rsidRDefault="0082492D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 lutego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3A929F07" w14:textId="77777777" w:rsidR="00C54E7F" w:rsidRDefault="00C54E7F" w:rsidP="00C54E7F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Tomasza Zięcia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  <w:t>DRD SYSTEM TOMASZ ZIĘĆ</w:t>
            </w:r>
            <w:r w:rsidRPr="00B1149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AA619C">
              <w:rPr>
                <w:rFonts w:ascii="Arial" w:hAnsi="Arial" w:cs="Arial"/>
                <w:b/>
                <w:bCs/>
              </w:rPr>
              <w:t>8842515329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25EB9707" w14:textId="77777777" w:rsidR="00C54E7F" w:rsidRDefault="00C54E7F" w:rsidP="00C54E7F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5A0DA5F5" w14:textId="77777777" w:rsidR="00C54E7F" w:rsidRDefault="00C54E7F" w:rsidP="00C54E7F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58A48D9B" w14:textId="77777777" w:rsidR="00C54E7F" w:rsidRPr="000C36DF" w:rsidRDefault="00C54E7F" w:rsidP="00C54E7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3BD958D6" w14:textId="77777777" w:rsidR="00C54E7F" w:rsidRDefault="00C54E7F" w:rsidP="00C54E7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1C31E84E" w14:textId="77777777" w:rsidR="00C54E7F" w:rsidRDefault="00C54E7F" w:rsidP="00C54E7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9B4A7" w14:textId="77777777" w:rsidR="00C54E7F" w:rsidRPr="00AD73D0" w:rsidRDefault="00C54E7F" w:rsidP="00C54E7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6844CFA" w14:textId="77777777" w:rsidR="00C54E7F" w:rsidRPr="00802E70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C89D249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E550E98" w14:textId="77777777" w:rsidR="00C54E7F" w:rsidRDefault="00C54E7F" w:rsidP="00C54E7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01D890D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81F9B87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9E61C9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1A2A64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D93E62" w14:textId="77777777" w:rsidR="00C54E7F" w:rsidRPr="008D17FC" w:rsidRDefault="00C54E7F" w:rsidP="00C54E7F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z tytułu zawartych z Dłużnikiem umów kredytów lub pożyczek, oraz wierzytelności przypadające wierzycielom-gwarantom w wysokości, w jakiej zaspokoili oni wierzycieli z tytułu tych umów, </w:t>
            </w:r>
            <w:r w:rsidRPr="006E52CE">
              <w:rPr>
                <w:rFonts w:ascii="Arial" w:hAnsi="Arial" w:cs="Arial"/>
              </w:rPr>
              <w:t xml:space="preserve">za wyjątkiem wierzytelności przysługujących </w:t>
            </w:r>
            <w:r>
              <w:rPr>
                <w:rFonts w:ascii="Arial" w:hAnsi="Arial" w:cs="Arial"/>
              </w:rPr>
              <w:t>wierzycielom</w:t>
            </w:r>
            <w:r w:rsidRPr="006E52CE">
              <w:rPr>
                <w:rFonts w:ascii="Arial" w:hAnsi="Arial" w:cs="Arial"/>
              </w:rPr>
              <w:t xml:space="preserve"> z tytułu umów, o których mowa w Grupie II.</w:t>
            </w:r>
          </w:p>
          <w:p w14:paraId="113AF957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7C39E0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C513DA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99764FF" w14:textId="77777777" w:rsidR="00C54E7F" w:rsidRDefault="00C54E7F" w:rsidP="00C54E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00A331A" w14:textId="77777777" w:rsidR="00C54E7F" w:rsidRDefault="00C54E7F" w:rsidP="00C54E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2572337" w14:textId="77777777" w:rsidR="00C54E7F" w:rsidRPr="009B0A0E" w:rsidRDefault="00C54E7F" w:rsidP="00C54E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886A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13EEECB8" w14:textId="77777777" w:rsidR="00C54E7F" w:rsidRPr="007D7CF7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4FFC0C82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378C3E0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AFF2A64" w14:textId="77777777" w:rsidR="00C54E7F" w:rsidRPr="007E5031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09F2C7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AB39BD3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76DDE32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I</w:t>
            </w:r>
          </w:p>
          <w:p w14:paraId="2CF1F769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AD496A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E65247" w14:textId="77777777" w:rsidR="00C54E7F" w:rsidRPr="008D17FC" w:rsidRDefault="00C54E7F" w:rsidP="00C54E7F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z tytułu zawartych z Dłużnikiem </w:t>
            </w:r>
            <w:r w:rsidRPr="00F62BDC">
              <w:rPr>
                <w:rFonts w:ascii="Arial" w:hAnsi="Arial" w:cs="Arial"/>
              </w:rPr>
              <w:t>umów o kredyt w rachunku bieżącym</w:t>
            </w:r>
            <w:r>
              <w:rPr>
                <w:rFonts w:ascii="Arial" w:hAnsi="Arial" w:cs="Arial"/>
              </w:rPr>
              <w:t xml:space="preserve"> i o kredyt odnawialny, oraz wierzytelności przypadające wierzycielom-gwarantom w wysokości, w jakiej zaspokoili oni wierzycieli z tytułu tych umów.</w:t>
            </w:r>
          </w:p>
          <w:p w14:paraId="09EF67C8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6D0C0B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73D82A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13898C1" w14:textId="77777777" w:rsidR="00C54E7F" w:rsidRDefault="00C54E7F" w:rsidP="00C54E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348E142" w14:textId="77777777" w:rsidR="00C54E7F" w:rsidRDefault="00C54E7F" w:rsidP="00C54E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DF65CD7" w14:textId="77777777" w:rsidR="00C54E7F" w:rsidRPr="009B0A0E" w:rsidRDefault="00C54E7F" w:rsidP="00C54E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886A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1F54A955" w14:textId="77777777" w:rsidR="00C54E7F" w:rsidRPr="007D7CF7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F0D3DC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AFC5851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DD4FA82" w14:textId="77777777" w:rsidR="00C54E7F" w:rsidRPr="007E5031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8A7AA6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E9B3A66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41C278E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7265DE3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65EC8522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BC67FB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EDE0F8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63DC93A9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19A71E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2CF2E2" w14:textId="77777777" w:rsidR="00C54E7F" w:rsidRPr="0011524D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3E6E786E" w14:textId="77777777" w:rsidR="00C54E7F" w:rsidRDefault="00C54E7F" w:rsidP="00C54E7F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F0EF3DF" w14:textId="77777777" w:rsidR="00C54E7F" w:rsidRPr="001A6386" w:rsidRDefault="00C54E7F" w:rsidP="00C54E7F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BAE78AB" w14:textId="77777777" w:rsidR="00C54E7F" w:rsidRPr="007D7CF7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F581CFA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25C692E" w14:textId="77777777" w:rsidR="00C54E7F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3BD2B0" w14:textId="77777777" w:rsidR="00C54E7F" w:rsidRPr="00BA0D64" w:rsidRDefault="00C54E7F" w:rsidP="00C54E7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 w:rsidRPr="00805E8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B0EE" w14:textId="77777777" w:rsidR="008655DF" w:rsidRDefault="008655DF" w:rsidP="008334D9">
      <w:pPr>
        <w:spacing w:after="0" w:line="240" w:lineRule="auto"/>
      </w:pPr>
      <w:r>
        <w:separator/>
      </w:r>
    </w:p>
  </w:endnote>
  <w:endnote w:type="continuationSeparator" w:id="0">
    <w:p w14:paraId="41B78CFB" w14:textId="77777777" w:rsidR="008655DF" w:rsidRDefault="008655DF" w:rsidP="008334D9">
      <w:pPr>
        <w:spacing w:after="0" w:line="240" w:lineRule="auto"/>
      </w:pPr>
      <w:r>
        <w:continuationSeparator/>
      </w:r>
    </w:p>
  </w:endnote>
  <w:endnote w:type="continuationNotice" w:id="1">
    <w:p w14:paraId="0AD34FDA" w14:textId="77777777" w:rsidR="008655DF" w:rsidRDefault="00865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C5B8" w14:textId="77777777" w:rsidR="008655DF" w:rsidRDefault="008655DF" w:rsidP="008334D9">
      <w:pPr>
        <w:spacing w:after="0" w:line="240" w:lineRule="auto"/>
      </w:pPr>
      <w:r>
        <w:separator/>
      </w:r>
    </w:p>
  </w:footnote>
  <w:footnote w:type="continuationSeparator" w:id="0">
    <w:p w14:paraId="7EE2E7C5" w14:textId="77777777" w:rsidR="008655DF" w:rsidRDefault="008655DF" w:rsidP="008334D9">
      <w:pPr>
        <w:spacing w:after="0" w:line="240" w:lineRule="auto"/>
      </w:pPr>
      <w:r>
        <w:continuationSeparator/>
      </w:r>
    </w:p>
  </w:footnote>
  <w:footnote w:type="continuationNotice" w:id="1">
    <w:p w14:paraId="4840998D" w14:textId="77777777" w:rsidR="008655DF" w:rsidRDefault="008655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258E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492D"/>
    <w:rsid w:val="008250AC"/>
    <w:rsid w:val="00825981"/>
    <w:rsid w:val="008334D9"/>
    <w:rsid w:val="00837FCA"/>
    <w:rsid w:val="008402C5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54E7F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881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Piotr Kempiński</cp:lastModifiedBy>
  <cp:revision>7</cp:revision>
  <cp:lastPrinted>2015-12-11T10:48:00Z</cp:lastPrinted>
  <dcterms:created xsi:type="dcterms:W3CDTF">2023-04-27T08:51:00Z</dcterms:created>
  <dcterms:modified xsi:type="dcterms:W3CDTF">2023-04-30T20:38:00Z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